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CEF" w:rsidRPr="002E3094" w:rsidRDefault="000B366E" w:rsidP="000B366E">
      <w:pPr>
        <w:pStyle w:val="AS-H1a"/>
        <w:tabs>
          <w:tab w:val="left" w:pos="3060"/>
          <w:tab w:val="center" w:pos="4249"/>
        </w:tabs>
        <w:jc w:val="left"/>
      </w:pPr>
      <w:r>
        <w:tab/>
      </w:r>
      <w:r>
        <w:tab/>
      </w:r>
      <w:r w:rsidR="0049507E">
        <w:rPr>
          <w:lang w:val="en-ZA" w:eastAsia="en-ZA"/>
        </w:rPr>
        <w:drawing>
          <wp:anchor distT="0" distB="0" distL="114300" distR="114300" simplePos="0" relativeHeight="251661312" behindDoc="0" locked="1" layoutInCell="0" allowOverlap="0">
            <wp:simplePos x="152400" y="135890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anchor>
        </w:drawing>
      </w:r>
    </w:p>
    <w:p w:rsidR="008938F7" w:rsidRPr="0088348A" w:rsidRDefault="00CB0F68" w:rsidP="008938F7">
      <w:pPr>
        <w:pStyle w:val="AS-H1a"/>
        <w:rPr>
          <w:position w:val="4"/>
          <w:sz w:val="20"/>
          <w:szCs w:val="20"/>
        </w:rPr>
      </w:pPr>
      <w:r w:rsidRPr="00CB0F68">
        <w:t>Demonstrations in or near Court Buildings Prohibition Act 71 of 1982</w:t>
      </w:r>
      <w:r>
        <w:t xml:space="preserve"> (RSA)</w:t>
      </w:r>
    </w:p>
    <w:p w:rsidR="008938F7" w:rsidRPr="00AC2903" w:rsidRDefault="008938F7" w:rsidP="005B23AF">
      <w:pPr>
        <w:pStyle w:val="AS-P-Amend"/>
      </w:pPr>
      <w:r w:rsidRPr="00AC2903">
        <w:t>(</w:t>
      </w:r>
      <w:r w:rsidR="001E2C19">
        <w:t xml:space="preserve">RSA </w:t>
      </w:r>
      <w:r w:rsidRPr="00AC2903">
        <w:t xml:space="preserve">GG </w:t>
      </w:r>
      <w:r w:rsidR="00CB0F68">
        <w:t>8221</w:t>
      </w:r>
      <w:r w:rsidRPr="00AC2903">
        <w:t>)</w:t>
      </w:r>
    </w:p>
    <w:p w:rsidR="008938F7" w:rsidRPr="00AC2903" w:rsidRDefault="001E2C19" w:rsidP="005B23AF">
      <w:pPr>
        <w:pStyle w:val="AS-P-Amend"/>
      </w:pPr>
      <w:r>
        <w:t xml:space="preserve">brought </w:t>
      </w:r>
      <w:r w:rsidR="000468C7">
        <w:t xml:space="preserve">into force </w:t>
      </w:r>
      <w:r>
        <w:t xml:space="preserve">in South West Africa by the Security Matters Proclamation, AG 29 of 1985 </w:t>
      </w:r>
      <w:r>
        <w:br/>
        <w:t>(OG 5059), with effect from that Proclamation’s date of publication: 15 June 1985</w:t>
      </w:r>
    </w:p>
    <w:p w:rsidR="006737D3" w:rsidRDefault="006737D3" w:rsidP="00AA41AD">
      <w:pPr>
        <w:pStyle w:val="AS-H1b"/>
      </w:pPr>
    </w:p>
    <w:p w:rsidR="001E2C19" w:rsidRPr="00F42DE5" w:rsidRDefault="00F42DE5" w:rsidP="00F42DE5">
      <w:pPr>
        <w:autoSpaceDE w:val="0"/>
        <w:autoSpaceDN w:val="0"/>
        <w:adjustRightInd w:val="0"/>
        <w:jc w:val="both"/>
        <w:rPr>
          <w:rFonts w:ascii="Arial" w:hAnsi="Arial" w:cs="Arial"/>
          <w:b/>
          <w:color w:val="0070C0"/>
          <w:sz w:val="18"/>
          <w:szCs w:val="18"/>
          <w:lang w:val="en-ZA"/>
        </w:rPr>
      </w:pPr>
      <w:r w:rsidRPr="00EC2AC9">
        <w:rPr>
          <w:rFonts w:ascii="Arial" w:hAnsi="Arial" w:cs="Arial"/>
          <w:b/>
          <w:color w:val="0070C0"/>
          <w:sz w:val="18"/>
          <w:szCs w:val="18"/>
          <w:lang w:val="en-ZA"/>
        </w:rPr>
        <w:t>APPLICABILITY TO SOUTH WEST AFRICA</w:t>
      </w:r>
      <w:r w:rsidR="001E2C19" w:rsidRPr="00EC2AC9">
        <w:rPr>
          <w:rFonts w:ascii="Arial" w:hAnsi="Arial" w:cs="Arial"/>
          <w:b/>
          <w:color w:val="0070C0"/>
          <w:sz w:val="18"/>
          <w:szCs w:val="18"/>
          <w:lang w:val="en-ZA"/>
        </w:rPr>
        <w:t>: The Security Matters Proclamation</w:t>
      </w:r>
      <w:r w:rsidRPr="00EC2AC9">
        <w:rPr>
          <w:rFonts w:ascii="Arial" w:hAnsi="Arial" w:cs="Arial"/>
          <w:b/>
          <w:color w:val="0070C0"/>
          <w:sz w:val="18"/>
          <w:szCs w:val="18"/>
          <w:lang w:val="en-ZA"/>
        </w:rPr>
        <w:t xml:space="preserve">, </w:t>
      </w:r>
      <w:r w:rsidR="001E2C19" w:rsidRPr="00EC2AC9">
        <w:rPr>
          <w:rFonts w:ascii="Arial" w:hAnsi="Arial" w:cs="Arial"/>
          <w:b/>
          <w:color w:val="0070C0"/>
          <w:sz w:val="18"/>
          <w:szCs w:val="18"/>
          <w:lang w:val="en-ZA"/>
        </w:rPr>
        <w:t>AG 29</w:t>
      </w:r>
      <w:r w:rsidRPr="00EC2AC9">
        <w:rPr>
          <w:rFonts w:ascii="Arial" w:hAnsi="Arial" w:cs="Arial"/>
          <w:b/>
          <w:color w:val="0070C0"/>
          <w:sz w:val="18"/>
          <w:szCs w:val="18"/>
          <w:lang w:val="en-ZA"/>
        </w:rPr>
        <w:t xml:space="preserve"> of </w:t>
      </w:r>
      <w:r w:rsidR="001E2C19" w:rsidRPr="00EC2AC9">
        <w:rPr>
          <w:rFonts w:ascii="Arial" w:hAnsi="Arial" w:cs="Arial"/>
          <w:b/>
          <w:color w:val="0070C0"/>
          <w:sz w:val="18"/>
          <w:szCs w:val="18"/>
          <w:lang w:val="en-ZA"/>
        </w:rPr>
        <w:t xml:space="preserve">1985 (OG 5059) </w:t>
      </w:r>
      <w:r w:rsidR="001E2C19" w:rsidRPr="00F42DE5">
        <w:rPr>
          <w:rFonts w:ascii="Arial" w:hAnsi="Arial" w:cs="Arial"/>
          <w:b/>
          <w:color w:val="0070C0"/>
          <w:sz w:val="18"/>
          <w:szCs w:val="18"/>
          <w:lang w:val="en-ZA"/>
        </w:rPr>
        <w:t>made this Act applicable to South West Africa, with minor amendments.</w:t>
      </w:r>
      <w:r w:rsidRPr="00F42DE5">
        <w:rPr>
          <w:rFonts w:ascii="Arial" w:hAnsi="Arial" w:cs="Arial"/>
          <w:b/>
          <w:color w:val="0070C0"/>
          <w:sz w:val="18"/>
          <w:szCs w:val="18"/>
          <w:lang w:val="en-ZA"/>
        </w:rPr>
        <w:t xml:space="preserve"> Section 1 of that Proclamation stated </w:t>
      </w:r>
      <w:r>
        <w:rPr>
          <w:rFonts w:ascii="Arial" w:hAnsi="Arial" w:cs="Arial"/>
          <w:b/>
          <w:color w:val="0070C0"/>
          <w:sz w:val="18"/>
          <w:szCs w:val="18"/>
          <w:lang w:val="en-ZA"/>
        </w:rPr>
        <w:t>“</w:t>
      </w:r>
      <w:r w:rsidRPr="00F42DE5">
        <w:rPr>
          <w:rFonts w:ascii="Arial" w:hAnsi="Arial" w:cs="Arial"/>
          <w:color w:val="0070C0"/>
          <w:sz w:val="18"/>
          <w:szCs w:val="18"/>
          <w:lang w:val="en-ZA"/>
        </w:rPr>
        <w:t xml:space="preserve">Subject to the provisions of this Proclamation, the provisions of the Demonstrations in or near Court Buildings Prohibition Act, 1982 (Act 71 of 1982) (except the words "and shall come into operation on a date fixed by the State President by proclamation in the </w:t>
      </w:r>
      <w:r w:rsidRPr="00F42DE5">
        <w:rPr>
          <w:rFonts w:ascii="Arial" w:hAnsi="Arial" w:cs="Arial"/>
          <w:i/>
          <w:iCs/>
          <w:color w:val="0070C0"/>
          <w:sz w:val="18"/>
          <w:szCs w:val="18"/>
          <w:lang w:val="en-ZA"/>
        </w:rPr>
        <w:t>Gaz</w:t>
      </w:r>
      <w:r>
        <w:rPr>
          <w:rFonts w:ascii="Arial" w:hAnsi="Arial" w:cs="Arial"/>
          <w:i/>
          <w:iCs/>
          <w:color w:val="0070C0"/>
          <w:sz w:val="18"/>
          <w:szCs w:val="18"/>
          <w:lang w:val="en-ZA"/>
        </w:rPr>
        <w:t>e</w:t>
      </w:r>
      <w:r w:rsidRPr="00F42DE5">
        <w:rPr>
          <w:rFonts w:ascii="Arial" w:hAnsi="Arial" w:cs="Arial"/>
          <w:i/>
          <w:iCs/>
          <w:color w:val="0070C0"/>
          <w:sz w:val="18"/>
          <w:szCs w:val="18"/>
          <w:lang w:val="en-ZA"/>
        </w:rPr>
        <w:t xml:space="preserve">tte" </w:t>
      </w:r>
      <w:r w:rsidRPr="00F42DE5">
        <w:rPr>
          <w:rFonts w:ascii="Arial" w:hAnsi="Arial" w:cs="Arial"/>
          <w:color w:val="0070C0"/>
          <w:sz w:val="18"/>
          <w:szCs w:val="18"/>
          <w:lang w:val="en-ZA"/>
        </w:rPr>
        <w:t>in section 4), the Intimidation Act, 1982 (Act 72 of 1982), and the Protection of Information Act, 1982 (Act 84 of 1982)</w:t>
      </w:r>
      <w:r w:rsidR="00924D83">
        <w:rPr>
          <w:rFonts w:ascii="Arial" w:hAnsi="Arial" w:cs="Arial"/>
          <w:color w:val="0070C0"/>
          <w:sz w:val="18"/>
          <w:szCs w:val="18"/>
          <w:lang w:val="en-ZA"/>
        </w:rPr>
        <w:t>,</w:t>
      </w:r>
      <w:r w:rsidRPr="00F42DE5">
        <w:rPr>
          <w:rFonts w:ascii="Arial" w:hAnsi="Arial" w:cs="Arial"/>
          <w:color w:val="0070C0"/>
          <w:sz w:val="18"/>
          <w:szCs w:val="18"/>
          <w:lang w:val="en-ZA"/>
        </w:rPr>
        <w:t xml:space="preserve"> shall apply in the territory of South West Africa.</w:t>
      </w:r>
      <w:r>
        <w:rPr>
          <w:rFonts w:ascii="Arial" w:hAnsi="Arial" w:cs="Arial"/>
          <w:color w:val="0070C0"/>
          <w:sz w:val="18"/>
          <w:szCs w:val="18"/>
          <w:lang w:val="en-ZA"/>
        </w:rPr>
        <w:t>”</w:t>
      </w:r>
    </w:p>
    <w:p w:rsidR="001E2C19" w:rsidRPr="00F42DE5" w:rsidRDefault="001E2C19" w:rsidP="001E2C19">
      <w:pPr>
        <w:ind w:left="720"/>
        <w:jc w:val="both"/>
        <w:rPr>
          <w:rFonts w:ascii="Arial" w:hAnsi="Arial" w:cs="Arial"/>
          <w:b/>
          <w:color w:val="0070C0"/>
          <w:sz w:val="18"/>
          <w:szCs w:val="18"/>
          <w:lang w:val="en-ZA"/>
        </w:rPr>
      </w:pPr>
    </w:p>
    <w:p w:rsidR="001E2C19" w:rsidRPr="00F42DE5" w:rsidRDefault="00F42DE5" w:rsidP="001E2C19">
      <w:pPr>
        <w:jc w:val="both"/>
        <w:rPr>
          <w:rFonts w:ascii="Arial" w:hAnsi="Arial" w:cs="Arial"/>
          <w:b/>
          <w:color w:val="0070C0"/>
          <w:sz w:val="18"/>
          <w:szCs w:val="18"/>
          <w:lang w:val="en-ZA"/>
        </w:rPr>
      </w:pPr>
      <w:r w:rsidRPr="00F42DE5">
        <w:rPr>
          <w:rFonts w:ascii="Arial" w:hAnsi="Arial" w:cs="Arial"/>
          <w:b/>
          <w:color w:val="0070C0"/>
          <w:sz w:val="18"/>
          <w:szCs w:val="18"/>
          <w:lang w:val="en-ZA"/>
        </w:rPr>
        <w:t>TRANSFER TO SOUTH WEST AFRICA</w:t>
      </w:r>
      <w:r w:rsidR="001E2C19" w:rsidRPr="00F42DE5">
        <w:rPr>
          <w:rFonts w:ascii="Arial" w:hAnsi="Arial" w:cs="Arial"/>
          <w:b/>
          <w:color w:val="0070C0"/>
          <w:sz w:val="18"/>
          <w:szCs w:val="18"/>
          <w:lang w:val="en-ZA"/>
        </w:rPr>
        <w:t xml:space="preserve">: This Act post-dated the transfer proclamations. </w:t>
      </w:r>
    </w:p>
    <w:p w:rsidR="001E2C19" w:rsidRPr="006737D3" w:rsidRDefault="001E2C19" w:rsidP="00AA41AD">
      <w:pPr>
        <w:pStyle w:val="AS-H1b"/>
      </w:pPr>
    </w:p>
    <w:p w:rsidR="006737D3" w:rsidRDefault="008938F7" w:rsidP="00AA41AD">
      <w:pPr>
        <w:pStyle w:val="AS-H1b"/>
        <w:rPr>
          <w:rStyle w:val="AS-P-AmendChar"/>
          <w:rFonts w:eastAsiaTheme="minorHAnsi"/>
          <w:b/>
        </w:rPr>
      </w:pPr>
      <w:r w:rsidRPr="008A053C">
        <w:rPr>
          <w:color w:val="00B050"/>
        </w:rPr>
        <w:t>as amended by</w:t>
      </w:r>
    </w:p>
    <w:p w:rsidR="006737D3" w:rsidRDefault="006737D3" w:rsidP="00AA41AD">
      <w:pPr>
        <w:pStyle w:val="AS-H1b"/>
      </w:pPr>
    </w:p>
    <w:p w:rsidR="008A053C" w:rsidRDefault="001E2C19" w:rsidP="008A053C">
      <w:pPr>
        <w:pStyle w:val="AS-H1b"/>
      </w:pPr>
      <w:r w:rsidRPr="001E2C19">
        <w:rPr>
          <w:lang w:val="en-GB"/>
        </w:rPr>
        <w:t xml:space="preserve">Security Matters Proclamation, AG 29 of 1985 </w:t>
      </w:r>
      <w:r w:rsidRPr="001E2C19">
        <w:rPr>
          <w:rStyle w:val="AS-P-AmendChar"/>
          <w:rFonts w:eastAsiaTheme="minorHAnsi"/>
          <w:b/>
          <w:lang w:val="en-GB"/>
        </w:rPr>
        <w:t>(OG 5059)</w:t>
      </w:r>
      <w:r w:rsidRPr="001E2C19">
        <w:rPr>
          <w:lang w:val="en-GB"/>
        </w:rPr>
        <w:t xml:space="preserve"> </w:t>
      </w:r>
    </w:p>
    <w:p w:rsidR="008938F7" w:rsidRDefault="00F42DE5" w:rsidP="005B23AF">
      <w:pPr>
        <w:pStyle w:val="AS-P-Amend"/>
      </w:pPr>
      <w:r>
        <w:t xml:space="preserve">came into force on date of publication: 15 June 1985 </w:t>
      </w:r>
    </w:p>
    <w:p w:rsidR="008938F7" w:rsidRPr="00AC2903" w:rsidRDefault="008938F7" w:rsidP="009F7600">
      <w:pPr>
        <w:pStyle w:val="AS-H1a"/>
        <w:pBdr>
          <w:between w:val="single" w:sz="4" w:space="1" w:color="auto"/>
        </w:pBdr>
      </w:pPr>
    </w:p>
    <w:p w:rsidR="008938F7" w:rsidRPr="00AC2903" w:rsidRDefault="008938F7" w:rsidP="009F7600">
      <w:pPr>
        <w:pStyle w:val="AS-H1a"/>
        <w:pBdr>
          <w:between w:val="single" w:sz="4" w:space="1" w:color="auto"/>
        </w:pBdr>
      </w:pPr>
    </w:p>
    <w:p w:rsidR="008938F7" w:rsidRPr="002E3094" w:rsidRDefault="006B6E6E" w:rsidP="006B6E6E">
      <w:pPr>
        <w:pStyle w:val="AS-H1a"/>
        <w:tabs>
          <w:tab w:val="center" w:pos="4249"/>
          <w:tab w:val="left" w:pos="6950"/>
        </w:tabs>
        <w:jc w:val="left"/>
      </w:pPr>
      <w:r>
        <w:tab/>
      </w:r>
      <w:r w:rsidR="007D662E">
        <w:t>ACT</w:t>
      </w:r>
      <w:r>
        <w:tab/>
      </w:r>
    </w:p>
    <w:p w:rsidR="008938F7" w:rsidRPr="002E3094" w:rsidRDefault="008938F7" w:rsidP="008938F7"/>
    <w:p w:rsidR="00494F9F" w:rsidRPr="00494F9F" w:rsidRDefault="00494F9F" w:rsidP="00494F9F">
      <w:pPr>
        <w:pStyle w:val="AS-P0"/>
        <w:rPr>
          <w:b/>
        </w:rPr>
      </w:pPr>
      <w:r w:rsidRPr="00A97ED0">
        <w:rPr>
          <w:b/>
        </w:rPr>
        <w:t>To prohibit certain demonstrations and gatherings in or near court buildings, and to provide</w:t>
      </w:r>
      <w:r w:rsidRPr="00494F9F">
        <w:rPr>
          <w:b/>
        </w:rPr>
        <w:t xml:space="preserve"> for matters connected therewith. </w:t>
      </w:r>
    </w:p>
    <w:p w:rsidR="00143E17" w:rsidRDefault="00143E17" w:rsidP="005B23AF">
      <w:pPr>
        <w:pStyle w:val="AS-P0"/>
      </w:pPr>
    </w:p>
    <w:p w:rsidR="00494F9F" w:rsidRPr="00494F9F" w:rsidRDefault="00494F9F" w:rsidP="00494F9F">
      <w:pPr>
        <w:pStyle w:val="AS-P0"/>
        <w:jc w:val="center"/>
        <w:rPr>
          <w:i/>
        </w:rPr>
      </w:pPr>
      <w:r w:rsidRPr="00494F9F">
        <w:rPr>
          <w:i/>
        </w:rPr>
        <w:t>(English tex</w:t>
      </w:r>
      <w:r w:rsidR="00F42DE5">
        <w:rPr>
          <w:i/>
        </w:rPr>
        <w:t>t signed by the State President</w:t>
      </w:r>
      <w:r w:rsidRPr="00494F9F">
        <w:rPr>
          <w:i/>
        </w:rPr>
        <w:t>)</w:t>
      </w:r>
    </w:p>
    <w:p w:rsidR="00143E17" w:rsidRPr="00494F9F" w:rsidRDefault="00494F9F" w:rsidP="00494F9F">
      <w:pPr>
        <w:pStyle w:val="AS-P0"/>
        <w:jc w:val="center"/>
        <w:rPr>
          <w:i/>
        </w:rPr>
      </w:pPr>
      <w:r w:rsidRPr="00494F9F">
        <w:rPr>
          <w:i/>
        </w:rPr>
        <w:t>(Assented to 22 May 1982)</w:t>
      </w:r>
    </w:p>
    <w:p w:rsidR="005955EA" w:rsidRPr="00AC2903" w:rsidRDefault="005955EA" w:rsidP="005B23AF">
      <w:pPr>
        <w:pStyle w:val="AS-H1a"/>
        <w:pBdr>
          <w:between w:val="single" w:sz="4" w:space="1" w:color="auto"/>
        </w:pBdr>
      </w:pPr>
    </w:p>
    <w:p w:rsidR="005955EA" w:rsidRPr="00AC2903" w:rsidRDefault="005955EA" w:rsidP="005B23AF">
      <w:pPr>
        <w:pStyle w:val="AS-H1a"/>
        <w:pBdr>
          <w:between w:val="single" w:sz="4" w:space="1" w:color="auto"/>
        </w:pBdr>
      </w:pPr>
    </w:p>
    <w:p w:rsidR="008938F7" w:rsidRPr="00AC0093" w:rsidRDefault="008938F7" w:rsidP="008B568D">
      <w:pPr>
        <w:pStyle w:val="AS-H2"/>
        <w:rPr>
          <w:color w:val="00B050"/>
        </w:rPr>
      </w:pPr>
      <w:r w:rsidRPr="00AC0093">
        <w:rPr>
          <w:color w:val="00B050"/>
        </w:rPr>
        <w:t>ARRANGEMENT OF SECTIONS</w:t>
      </w:r>
    </w:p>
    <w:p w:rsidR="00280DCD" w:rsidRPr="00AC0093" w:rsidRDefault="00280DCD" w:rsidP="00447229">
      <w:pPr>
        <w:pStyle w:val="AS-P0"/>
        <w:rPr>
          <w:color w:val="00B050"/>
        </w:rPr>
      </w:pPr>
    </w:p>
    <w:p w:rsidR="00AD7E9B" w:rsidRPr="00AC0093" w:rsidRDefault="003D6636" w:rsidP="00447229">
      <w:pPr>
        <w:pStyle w:val="AS-P0"/>
        <w:rPr>
          <w:color w:val="00B050"/>
        </w:rPr>
      </w:pPr>
      <w:r w:rsidRPr="00AC0093">
        <w:rPr>
          <w:color w:val="00B050"/>
        </w:rPr>
        <w:t>1.</w:t>
      </w:r>
      <w:r w:rsidR="002D7E0C" w:rsidRPr="00AC0093">
        <w:rPr>
          <w:color w:val="00B050"/>
        </w:rPr>
        <w:tab/>
      </w:r>
      <w:r w:rsidR="00E82C4E" w:rsidRPr="00AC0093">
        <w:rPr>
          <w:color w:val="00B050"/>
        </w:rPr>
        <w:t>Definitions</w:t>
      </w:r>
    </w:p>
    <w:p w:rsidR="003D6636" w:rsidRPr="00AC0093" w:rsidRDefault="003D6636" w:rsidP="003672C4">
      <w:pPr>
        <w:pStyle w:val="AS-P0"/>
        <w:ind w:left="567" w:hanging="567"/>
        <w:rPr>
          <w:color w:val="00B050"/>
        </w:rPr>
      </w:pPr>
      <w:r w:rsidRPr="00AC0093">
        <w:rPr>
          <w:color w:val="00B050"/>
        </w:rPr>
        <w:t>2.</w:t>
      </w:r>
      <w:r w:rsidRPr="00AC0093">
        <w:rPr>
          <w:color w:val="00B050"/>
        </w:rPr>
        <w:tab/>
      </w:r>
      <w:r w:rsidR="003672C4" w:rsidRPr="00AC0093">
        <w:rPr>
          <w:color w:val="00B050"/>
        </w:rPr>
        <w:t xml:space="preserve">Prohibition of demonstrations and gatherings in or within a fixed distance from </w:t>
      </w:r>
      <w:r w:rsidR="00326072" w:rsidRPr="00AC0093">
        <w:rPr>
          <w:color w:val="00B050"/>
        </w:rPr>
        <w:t>certain</w:t>
      </w:r>
      <w:r w:rsidR="003672C4" w:rsidRPr="00AC0093">
        <w:rPr>
          <w:color w:val="00B050"/>
        </w:rPr>
        <w:t xml:space="preserve"> buildings</w:t>
      </w:r>
    </w:p>
    <w:p w:rsidR="003D6636" w:rsidRPr="00AC0093" w:rsidRDefault="003D6636" w:rsidP="00447229">
      <w:pPr>
        <w:pStyle w:val="AS-P0"/>
        <w:rPr>
          <w:color w:val="00B050"/>
        </w:rPr>
      </w:pPr>
      <w:r w:rsidRPr="00AC0093">
        <w:rPr>
          <w:color w:val="00B050"/>
        </w:rPr>
        <w:t>3.</w:t>
      </w:r>
      <w:r w:rsidRPr="00AC0093">
        <w:rPr>
          <w:color w:val="00B050"/>
        </w:rPr>
        <w:tab/>
      </w:r>
      <w:r w:rsidR="00DE3D9E" w:rsidRPr="00AC0093">
        <w:rPr>
          <w:color w:val="00B050"/>
        </w:rPr>
        <w:t>Offences and penalties</w:t>
      </w:r>
    </w:p>
    <w:p w:rsidR="003D6636" w:rsidRPr="00AC0093" w:rsidRDefault="003D6636" w:rsidP="00447229">
      <w:pPr>
        <w:pStyle w:val="AS-P0"/>
        <w:rPr>
          <w:color w:val="00B050"/>
        </w:rPr>
      </w:pPr>
      <w:r w:rsidRPr="00AC0093">
        <w:rPr>
          <w:color w:val="00B050"/>
        </w:rPr>
        <w:t>4.</w:t>
      </w:r>
      <w:r w:rsidRPr="00AC0093">
        <w:rPr>
          <w:color w:val="00B050"/>
        </w:rPr>
        <w:tab/>
      </w:r>
      <w:r w:rsidR="00DE3D9E" w:rsidRPr="00AC0093">
        <w:rPr>
          <w:color w:val="00B050"/>
        </w:rPr>
        <w:t>Short title and commencement</w:t>
      </w:r>
    </w:p>
    <w:p w:rsidR="003D6636" w:rsidRDefault="003D6636" w:rsidP="00447229">
      <w:pPr>
        <w:pStyle w:val="AS-P0"/>
      </w:pPr>
    </w:p>
    <w:p w:rsidR="001A3C2E" w:rsidRDefault="001A3C2E" w:rsidP="00447229">
      <w:pPr>
        <w:pStyle w:val="AS-P0"/>
      </w:pPr>
    </w:p>
    <w:p w:rsidR="003E634D" w:rsidRPr="00DC059E" w:rsidRDefault="003E634D" w:rsidP="003E634D">
      <w:pPr>
        <w:pStyle w:val="AS-P0"/>
      </w:pPr>
      <w:r w:rsidRPr="00575D80">
        <w:t xml:space="preserve">BE </w:t>
      </w:r>
      <w:r w:rsidRPr="00DC059E">
        <w:t>IT ENACTED by the State President and the House of Assembly of the Republic of South Africa, as follows:-</w:t>
      </w:r>
    </w:p>
    <w:p w:rsidR="003E634D" w:rsidRDefault="003E634D" w:rsidP="003E634D">
      <w:pPr>
        <w:pStyle w:val="AS-P0"/>
      </w:pPr>
    </w:p>
    <w:p w:rsidR="00AC0093" w:rsidRDefault="00AC0093" w:rsidP="003E634D">
      <w:pPr>
        <w:pStyle w:val="AS-P0"/>
        <w:rPr>
          <w:b/>
        </w:rPr>
      </w:pPr>
      <w:r w:rsidRPr="00A13E3B">
        <w:rPr>
          <w:b/>
        </w:rPr>
        <w:t>Definitions</w:t>
      </w:r>
    </w:p>
    <w:p w:rsidR="00AC0093" w:rsidRPr="00DC059E" w:rsidRDefault="00AC0093" w:rsidP="003E634D">
      <w:pPr>
        <w:pStyle w:val="AS-P0"/>
      </w:pPr>
    </w:p>
    <w:p w:rsidR="003E634D" w:rsidRDefault="003E634D" w:rsidP="00807B4A">
      <w:pPr>
        <w:pStyle w:val="AS-P1"/>
      </w:pPr>
      <w:r w:rsidRPr="00DC059E">
        <w:rPr>
          <w:b/>
        </w:rPr>
        <w:t xml:space="preserve">1. </w:t>
      </w:r>
      <w:r>
        <w:rPr>
          <w:b/>
        </w:rPr>
        <w:tab/>
      </w:r>
      <w:r w:rsidRPr="00DC059E">
        <w:t>In this Act, unless the context otherwise indicates</w:t>
      </w:r>
      <w:r>
        <w:t xml:space="preserve"> -</w:t>
      </w:r>
    </w:p>
    <w:p w:rsidR="003E634D" w:rsidRDefault="003E634D" w:rsidP="003E634D">
      <w:pPr>
        <w:pStyle w:val="AS-P0"/>
      </w:pPr>
    </w:p>
    <w:p w:rsidR="003E634D" w:rsidRPr="00DC059E" w:rsidRDefault="003E634D" w:rsidP="003E634D">
      <w:pPr>
        <w:pStyle w:val="AS-P0"/>
      </w:pPr>
      <w:r>
        <w:t>”</w:t>
      </w:r>
      <w:r w:rsidRPr="00DC059E">
        <w:t>demonstration</w:t>
      </w:r>
      <w:r>
        <w:t>”</w:t>
      </w:r>
      <w:r w:rsidRPr="00DC059E">
        <w:t xml:space="preserve"> means any demonstration by one or more persons for or against any person, cause, action or failure to take action, and which is connected with or coincides</w:t>
      </w:r>
      <w:bookmarkStart w:id="0" w:name="_GoBack"/>
      <w:bookmarkEnd w:id="0"/>
      <w:r w:rsidRPr="00DC059E">
        <w:t xml:space="preserve"> with any court proceedings or the proceedings at any inquest under the Inquests Act, 1959 (Act No. 58 of 1959); and </w:t>
      </w:r>
      <w:r>
        <w:t>“</w:t>
      </w:r>
      <w:r w:rsidRPr="00DC059E">
        <w:t>demonstrate</w:t>
      </w:r>
      <w:r>
        <w:t>”</w:t>
      </w:r>
      <w:r w:rsidRPr="00DC059E">
        <w:t xml:space="preserve"> has a corresponding meaning;</w:t>
      </w:r>
    </w:p>
    <w:p w:rsidR="003E634D" w:rsidRDefault="003E634D" w:rsidP="003E634D">
      <w:pPr>
        <w:pStyle w:val="AS-P0"/>
      </w:pPr>
    </w:p>
    <w:p w:rsidR="0081452C" w:rsidRPr="0081452C" w:rsidRDefault="0081452C" w:rsidP="0081452C">
      <w:pPr>
        <w:pStyle w:val="AS-P-Amend"/>
      </w:pPr>
      <w:r w:rsidRPr="0081452C">
        <w:t>[The Inquests Act 58 of 1959 has been replaced by the Inquests Act 6 of 1993.]</w:t>
      </w:r>
    </w:p>
    <w:p w:rsidR="0081452C" w:rsidRDefault="0081452C" w:rsidP="003E634D">
      <w:pPr>
        <w:pStyle w:val="AS-P0"/>
      </w:pPr>
    </w:p>
    <w:p w:rsidR="003E634D" w:rsidRPr="00DC059E" w:rsidRDefault="003E634D" w:rsidP="003E634D">
      <w:pPr>
        <w:pStyle w:val="AS-P0"/>
      </w:pPr>
      <w:r>
        <w:t>“</w:t>
      </w:r>
      <w:r w:rsidRPr="00DC059E">
        <w:t>gathering</w:t>
      </w:r>
      <w:r>
        <w:t>”</w:t>
      </w:r>
      <w:r w:rsidRPr="00DC059E">
        <w:t xml:space="preserve"> means any assembly, concourse or procession of any number of persons, relating to or arising out of any demonstration.</w:t>
      </w:r>
    </w:p>
    <w:p w:rsidR="003E634D" w:rsidRDefault="003E634D" w:rsidP="003E634D">
      <w:pPr>
        <w:pStyle w:val="AS-P0"/>
        <w:rPr>
          <w:b/>
        </w:rPr>
      </w:pPr>
    </w:p>
    <w:p w:rsidR="00AC0093" w:rsidRDefault="00AC0093" w:rsidP="003E634D">
      <w:pPr>
        <w:pStyle w:val="AS-P0"/>
        <w:rPr>
          <w:b/>
        </w:rPr>
      </w:pPr>
      <w:r w:rsidRPr="00A13E3B">
        <w:rPr>
          <w:b/>
        </w:rPr>
        <w:t>Prohibition of demonstrations and gatherings in or within a fixed distance from certain buildings</w:t>
      </w:r>
    </w:p>
    <w:p w:rsidR="00AC0093" w:rsidRPr="005F22B9" w:rsidRDefault="00AC0093" w:rsidP="003E634D">
      <w:pPr>
        <w:pStyle w:val="AS-P0"/>
        <w:rPr>
          <w:b/>
        </w:rPr>
      </w:pPr>
    </w:p>
    <w:p w:rsidR="003E634D" w:rsidRPr="00DC059E" w:rsidRDefault="003E634D" w:rsidP="002629BD">
      <w:pPr>
        <w:pStyle w:val="AS-P1"/>
      </w:pPr>
      <w:r w:rsidRPr="005F22B9">
        <w:rPr>
          <w:b/>
        </w:rPr>
        <w:t>2.</w:t>
      </w:r>
      <w:r w:rsidRPr="00DC059E">
        <w:tab/>
        <w:t xml:space="preserve">(1) </w:t>
      </w:r>
      <w:r>
        <w:tab/>
      </w:r>
      <w:r w:rsidRPr="00DC059E">
        <w:t>Subject to the provisions of subsection (2), all demonstrations and gatherings in any building in which a court-room is situated or at any place in the open air within a radius of five hundred metres from such building are</w:t>
      </w:r>
      <w:r>
        <w:t xml:space="preserve"> </w:t>
      </w:r>
      <w:r w:rsidRPr="00DC059E">
        <w:t>hereby prohibited on every day of the week except Saturdays, Sundays and public holidays.</w:t>
      </w:r>
    </w:p>
    <w:p w:rsidR="003E634D" w:rsidRDefault="003E634D" w:rsidP="002629BD">
      <w:pPr>
        <w:pStyle w:val="AS-P1"/>
      </w:pPr>
    </w:p>
    <w:p w:rsidR="003E634D" w:rsidRPr="00DC059E" w:rsidRDefault="003E634D" w:rsidP="002629BD">
      <w:pPr>
        <w:pStyle w:val="AS-P1"/>
      </w:pPr>
      <w:r w:rsidRPr="00DC059E">
        <w:t xml:space="preserve">(2) </w:t>
      </w:r>
      <w:r w:rsidR="002629BD">
        <w:tab/>
      </w:r>
      <w:r w:rsidRPr="00DC059E">
        <w:t>The provisions of subsection (1) shall not apply to any demonstration or gathering for which the magistrate of the district in which the demonstration or</w:t>
      </w:r>
      <w:r>
        <w:t xml:space="preserve"> </w:t>
      </w:r>
      <w:r w:rsidRPr="00DC059E">
        <w:t>gathering takes place has granted permission in writing.</w:t>
      </w:r>
    </w:p>
    <w:p w:rsidR="003E634D" w:rsidRDefault="003E634D" w:rsidP="002629BD">
      <w:pPr>
        <w:pStyle w:val="AS-P1"/>
      </w:pPr>
    </w:p>
    <w:p w:rsidR="003E634D" w:rsidRDefault="003E634D" w:rsidP="003F5241">
      <w:pPr>
        <w:pStyle w:val="AS-P1"/>
      </w:pPr>
      <w:r w:rsidRPr="00DC059E">
        <w:t xml:space="preserve">(3) </w:t>
      </w:r>
      <w:r w:rsidR="002629BD">
        <w:tab/>
      </w:r>
      <w:r w:rsidRPr="00EC2AC9">
        <w:t xml:space="preserve">The provisions of section </w:t>
      </w:r>
      <w:r w:rsidR="003F5241" w:rsidRPr="00EC2AC9">
        <w:t>7 of the Riotous Assemblies Act, 1956</w:t>
      </w:r>
      <w:r w:rsidRPr="00EC2AC9">
        <w:t xml:space="preserve">, shall, </w:t>
      </w:r>
      <w:r w:rsidRPr="00EC2AC9">
        <w:rPr>
          <w:i/>
        </w:rPr>
        <w:t xml:space="preserve">mutatis mutandis </w:t>
      </w:r>
      <w:r w:rsidRPr="00EC2AC9">
        <w:rPr>
          <w:spacing w:val="-2"/>
        </w:rPr>
        <w:t>apply in connection with the dispersal and the manner of dispersal of any demonstration</w:t>
      </w:r>
      <w:r w:rsidRPr="00DC059E">
        <w:t xml:space="preserve"> or gathering prohibited by this section.</w:t>
      </w:r>
    </w:p>
    <w:p w:rsidR="003F5241" w:rsidRDefault="003F5241" w:rsidP="003F5241">
      <w:pPr>
        <w:pStyle w:val="AS-P1"/>
      </w:pPr>
    </w:p>
    <w:p w:rsidR="003F5241" w:rsidRDefault="003F5241" w:rsidP="003F5241">
      <w:pPr>
        <w:pStyle w:val="AS-P-Amend"/>
      </w:pPr>
      <w:r>
        <w:t>[</w:t>
      </w:r>
      <w:r w:rsidR="0081452C">
        <w:t>S</w:t>
      </w:r>
      <w:r>
        <w:t xml:space="preserve">ubsection (3) </w:t>
      </w:r>
      <w:r w:rsidR="0081452C">
        <w:t xml:space="preserve">is </w:t>
      </w:r>
      <w:r>
        <w:t>amended by AG 29 of 1985</w:t>
      </w:r>
      <w:r w:rsidR="0081452C">
        <w:t>. Section 7 of the Riotous Assemblies Act 17 of 1956 was repealed by t</w:t>
      </w:r>
      <w:r w:rsidR="0081452C" w:rsidRPr="003445B0">
        <w:t xml:space="preserve">he </w:t>
      </w:r>
      <w:r w:rsidR="0081452C" w:rsidRPr="003445B0">
        <w:rPr>
          <w:rStyle w:val="AS-H1bChar"/>
          <w:b/>
          <w:color w:val="00B050"/>
          <w:sz w:val="18"/>
          <w:szCs w:val="18"/>
          <w:lang w:val="en-GB"/>
        </w:rPr>
        <w:t>Public Gatherings Proclamation, AG 23 of 1989</w:t>
      </w:r>
      <w:r w:rsidR="0081452C" w:rsidRPr="003445B0">
        <w:t xml:space="preserve"> (OG 5756).</w:t>
      </w:r>
      <w:r>
        <w:t xml:space="preserve">]  </w:t>
      </w:r>
    </w:p>
    <w:p w:rsidR="003E634D" w:rsidRDefault="003E634D" w:rsidP="003E634D">
      <w:pPr>
        <w:pStyle w:val="AS-P0"/>
        <w:rPr>
          <w:b/>
        </w:rPr>
      </w:pPr>
    </w:p>
    <w:p w:rsidR="00AC0093" w:rsidRDefault="00AC0093" w:rsidP="003E634D">
      <w:pPr>
        <w:pStyle w:val="AS-P0"/>
        <w:rPr>
          <w:b/>
        </w:rPr>
      </w:pPr>
      <w:r w:rsidRPr="00A13E3B">
        <w:rPr>
          <w:b/>
        </w:rPr>
        <w:t>Offences and penalties</w:t>
      </w:r>
    </w:p>
    <w:p w:rsidR="00AC0093" w:rsidRPr="005F22B9" w:rsidRDefault="00AC0093" w:rsidP="003E634D">
      <w:pPr>
        <w:pStyle w:val="AS-P0"/>
        <w:rPr>
          <w:b/>
        </w:rPr>
      </w:pPr>
    </w:p>
    <w:p w:rsidR="003E634D" w:rsidRPr="00DC059E" w:rsidRDefault="003E634D" w:rsidP="002629BD">
      <w:pPr>
        <w:pStyle w:val="AS-P1"/>
      </w:pPr>
      <w:r w:rsidRPr="005F22B9">
        <w:rPr>
          <w:b/>
        </w:rPr>
        <w:t>3.</w:t>
      </w:r>
      <w:r w:rsidRPr="00DC059E">
        <w:tab/>
        <w:t>Any person who</w:t>
      </w:r>
      <w:r w:rsidR="002629BD">
        <w:t xml:space="preserve"> </w:t>
      </w:r>
      <w:r w:rsidRPr="00DC059E">
        <w:t>-</w:t>
      </w:r>
    </w:p>
    <w:p w:rsidR="003E634D" w:rsidRDefault="003E634D" w:rsidP="003E634D">
      <w:pPr>
        <w:pStyle w:val="AS-P0"/>
        <w:rPr>
          <w:rFonts w:eastAsia="Arial"/>
          <w:i/>
        </w:rPr>
      </w:pPr>
    </w:p>
    <w:p w:rsidR="003E634D" w:rsidRPr="00DC059E" w:rsidRDefault="003E634D" w:rsidP="004F6FB0">
      <w:pPr>
        <w:pStyle w:val="AS-Pa"/>
      </w:pPr>
      <w:r w:rsidRPr="005F22B9">
        <w:rPr>
          <w:rFonts w:eastAsia="Arial"/>
        </w:rPr>
        <w:t>(a)</w:t>
      </w:r>
      <w:r w:rsidRPr="005F22B9">
        <w:rPr>
          <w:rFonts w:eastAsia="Arial"/>
        </w:rPr>
        <w:tab/>
      </w:r>
      <w:r w:rsidRPr="00EC2AC9">
        <w:t>convenes or organizes any demonstration or gathering prohibited by section 2(1), or encourages, promotes or by means of force or threats causes the demonstration or gathering or attendance thereat or participation therein, or presides thereat or addresses it;</w:t>
      </w:r>
    </w:p>
    <w:p w:rsidR="003E634D" w:rsidRPr="005C3212" w:rsidRDefault="003E634D" w:rsidP="004F6FB0">
      <w:pPr>
        <w:pStyle w:val="AS-Pa"/>
        <w:rPr>
          <w:rFonts w:eastAsia="Arial"/>
        </w:rPr>
      </w:pPr>
    </w:p>
    <w:p w:rsidR="003E634D" w:rsidRPr="00DC059E" w:rsidRDefault="003E634D" w:rsidP="004F6FB0">
      <w:pPr>
        <w:pStyle w:val="AS-Pa"/>
      </w:pPr>
      <w:r w:rsidRPr="005F22B9">
        <w:rPr>
          <w:rFonts w:eastAsia="Arial"/>
        </w:rPr>
        <w:t>(b)</w:t>
      </w:r>
      <w:r w:rsidRPr="005F22B9">
        <w:rPr>
          <w:rFonts w:eastAsia="Arial"/>
        </w:rPr>
        <w:tab/>
      </w:r>
      <w:r w:rsidRPr="00DC059E">
        <w:t>prints, publishes, distributes or in any manner whatsoever circulates a notice convening or organizing the proposed demonstration or gathering, or advertises or in any other manner makes known the proposed demonstration or gathering;</w:t>
      </w:r>
    </w:p>
    <w:p w:rsidR="003E634D" w:rsidRPr="005C3212" w:rsidRDefault="003E634D" w:rsidP="004F6FB0">
      <w:pPr>
        <w:pStyle w:val="AS-Pa"/>
        <w:rPr>
          <w:rFonts w:eastAsia="Arial"/>
        </w:rPr>
      </w:pPr>
    </w:p>
    <w:p w:rsidR="003E634D" w:rsidRPr="00DC059E" w:rsidRDefault="003E634D" w:rsidP="004F6FB0">
      <w:pPr>
        <w:pStyle w:val="AS-Pa"/>
      </w:pPr>
      <w:r w:rsidRPr="005F22B9">
        <w:rPr>
          <w:rFonts w:eastAsia="Arial"/>
        </w:rPr>
        <w:t>(c)</w:t>
      </w:r>
      <w:r w:rsidRPr="005F22B9">
        <w:rPr>
          <w:rFonts w:eastAsia="Arial"/>
        </w:rPr>
        <w:tab/>
      </w:r>
      <w:r w:rsidRPr="00DC059E">
        <w:t>attends or takes part in any demonstration or gathering so prohibited; or</w:t>
      </w:r>
    </w:p>
    <w:p w:rsidR="003E634D" w:rsidRPr="005C3212" w:rsidRDefault="003E634D" w:rsidP="004F6FB0">
      <w:pPr>
        <w:pStyle w:val="AS-Pa"/>
        <w:rPr>
          <w:rFonts w:eastAsia="Arial"/>
        </w:rPr>
      </w:pPr>
    </w:p>
    <w:p w:rsidR="003E634D" w:rsidRPr="00DC059E" w:rsidRDefault="003E634D" w:rsidP="004F6FB0">
      <w:pPr>
        <w:pStyle w:val="AS-Pa"/>
      </w:pPr>
      <w:r w:rsidRPr="005F22B9">
        <w:rPr>
          <w:rFonts w:eastAsia="Arial"/>
        </w:rPr>
        <w:t>(d)</w:t>
      </w:r>
      <w:r w:rsidRPr="005F22B9">
        <w:rPr>
          <w:rFonts w:eastAsia="Arial"/>
        </w:rPr>
        <w:tab/>
      </w:r>
      <w:r w:rsidRPr="00DC059E">
        <w:t>demonstrates in c</w:t>
      </w:r>
      <w:r>
        <w:t>o</w:t>
      </w:r>
      <w:r w:rsidRPr="00DC059E">
        <w:t xml:space="preserve">ntravention of the provisions of </w:t>
      </w:r>
      <w:r>
        <w:t>sec</w:t>
      </w:r>
      <w:r w:rsidRPr="00DC059E">
        <w:t>tion 2</w:t>
      </w:r>
      <w:r>
        <w:t>(1),</w:t>
      </w:r>
    </w:p>
    <w:p w:rsidR="003E634D" w:rsidRPr="00DC059E" w:rsidRDefault="003E634D" w:rsidP="003E634D">
      <w:pPr>
        <w:pStyle w:val="AS-P0"/>
      </w:pPr>
    </w:p>
    <w:p w:rsidR="003E634D" w:rsidRPr="00DC059E" w:rsidRDefault="003E634D" w:rsidP="003E634D">
      <w:pPr>
        <w:pStyle w:val="AS-P0"/>
      </w:pPr>
      <w:r w:rsidRPr="00A97ED0">
        <w:rPr>
          <w:spacing w:val="-2"/>
        </w:rPr>
        <w:t>shall be guilty of an offence and liable on conviction to a fine not exceeding one thousand rand or to imprisonment for a period not exceeding one year or to both such fine and such imprisonment.</w:t>
      </w:r>
    </w:p>
    <w:p w:rsidR="003E634D" w:rsidRDefault="003E634D" w:rsidP="003E634D">
      <w:pPr>
        <w:pStyle w:val="AS-P0"/>
        <w:rPr>
          <w:b/>
        </w:rPr>
      </w:pPr>
    </w:p>
    <w:p w:rsidR="00AC0093" w:rsidRDefault="00AC0093" w:rsidP="003E634D">
      <w:pPr>
        <w:pStyle w:val="AS-P0"/>
        <w:rPr>
          <w:b/>
        </w:rPr>
      </w:pPr>
      <w:r w:rsidRPr="00A13E3B">
        <w:rPr>
          <w:b/>
        </w:rPr>
        <w:t>Short title and commencement</w:t>
      </w:r>
    </w:p>
    <w:p w:rsidR="00AC0093" w:rsidRPr="005F22B9" w:rsidRDefault="00AC0093" w:rsidP="003E634D">
      <w:pPr>
        <w:pStyle w:val="AS-P0"/>
        <w:rPr>
          <w:b/>
        </w:rPr>
      </w:pPr>
    </w:p>
    <w:p w:rsidR="003E634D" w:rsidRPr="00DC059E" w:rsidRDefault="003E634D" w:rsidP="005C3212">
      <w:pPr>
        <w:pStyle w:val="AS-P1"/>
      </w:pPr>
      <w:r w:rsidRPr="005F22B9">
        <w:rPr>
          <w:b/>
        </w:rPr>
        <w:t>4.</w:t>
      </w:r>
      <w:r w:rsidRPr="00DC059E">
        <w:tab/>
        <w:t>This Act shall be called the Demonstrations in or near Court Buildings Prohibition Act, 1982</w:t>
      </w:r>
      <w:r w:rsidRPr="00DC059E">
        <w:rPr>
          <w:i/>
        </w:rPr>
        <w:t>.</w:t>
      </w:r>
    </w:p>
    <w:p w:rsidR="001A3C2E" w:rsidRDefault="001A3C2E" w:rsidP="00447229">
      <w:pPr>
        <w:pStyle w:val="AS-P0"/>
      </w:pPr>
    </w:p>
    <w:p w:rsidR="00F42DE5" w:rsidRDefault="00F42DE5" w:rsidP="00F42DE5">
      <w:pPr>
        <w:pStyle w:val="AS-P-Amend"/>
      </w:pPr>
      <w:r>
        <w:t xml:space="preserve">[Some of the words </w:t>
      </w:r>
      <w:r w:rsidR="00C433F6">
        <w:t xml:space="preserve">in </w:t>
      </w:r>
      <w:r>
        <w:t xml:space="preserve">section 4 </w:t>
      </w:r>
      <w:r w:rsidR="00C433F6">
        <w:t>(</w:t>
      </w:r>
      <w:r w:rsidR="00563E95" w:rsidRPr="00563E95">
        <w:rPr>
          <w:b w:val="0"/>
          <w:lang w:val="en-ZA"/>
        </w:rPr>
        <w:t>“</w:t>
      </w:r>
      <w:r w:rsidR="00C433F6" w:rsidRPr="00563E95">
        <w:rPr>
          <w:b w:val="0"/>
          <w:lang w:val="en-ZA"/>
        </w:rPr>
        <w:t>and shall come</w:t>
      </w:r>
      <w:r w:rsidR="00C433F6" w:rsidRPr="00563E95">
        <w:rPr>
          <w:rFonts w:cs="Times New Roman"/>
          <w:b w:val="0"/>
          <w:color w:val="2D2E29"/>
          <w:sz w:val="21"/>
          <w:szCs w:val="21"/>
          <w:lang w:val="en-ZA"/>
        </w:rPr>
        <w:t xml:space="preserve"> </w:t>
      </w:r>
      <w:r w:rsidR="00C433F6" w:rsidRPr="00563E95">
        <w:rPr>
          <w:b w:val="0"/>
          <w:lang w:val="en-ZA"/>
        </w:rPr>
        <w:t xml:space="preserve">into operation on a date fixed by the State President by proclamation in the </w:t>
      </w:r>
      <w:r w:rsidR="00C433F6" w:rsidRPr="00563E95">
        <w:rPr>
          <w:b w:val="0"/>
          <w:i/>
          <w:iCs/>
          <w:lang w:val="en-ZA"/>
        </w:rPr>
        <w:t>Gazette</w:t>
      </w:r>
      <w:r w:rsidR="00563E95" w:rsidRPr="00563E95">
        <w:rPr>
          <w:b w:val="0"/>
          <w:iCs/>
          <w:lang w:val="en-ZA"/>
        </w:rPr>
        <w:t>”</w:t>
      </w:r>
      <w:r w:rsidR="00C433F6" w:rsidRPr="00563E95">
        <w:rPr>
          <w:iCs/>
          <w:lang w:val="en-ZA"/>
        </w:rPr>
        <w:t>)</w:t>
      </w:r>
      <w:r w:rsidR="00C433F6">
        <w:rPr>
          <w:i/>
          <w:iCs/>
          <w:lang w:val="en-ZA"/>
        </w:rPr>
        <w:t xml:space="preserve"> </w:t>
      </w:r>
      <w:r>
        <w:t xml:space="preserve">were not made applicable to South West Africa, in terms of </w:t>
      </w:r>
      <w:r w:rsidR="00563E95">
        <w:br/>
      </w:r>
      <w:r>
        <w:t>section 1 of AG 29 of 1985. The</w:t>
      </w:r>
      <w:r w:rsidR="00C433F6">
        <w:t>se</w:t>
      </w:r>
      <w:r>
        <w:t xml:space="preserve"> words have</w:t>
      </w:r>
      <w:r w:rsidR="00BA38AD">
        <w:t xml:space="preserve"> therefore been deleted here.]</w:t>
      </w:r>
    </w:p>
    <w:p w:rsidR="00BA38AD" w:rsidRDefault="00BA38AD" w:rsidP="00243AEB">
      <w:pPr>
        <w:pStyle w:val="AS-P0"/>
      </w:pPr>
    </w:p>
    <w:sectPr w:rsidR="00BA38AD"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7C1" w:rsidRDefault="007557C1">
      <w:r>
        <w:separator/>
      </w:r>
    </w:p>
  </w:endnote>
  <w:endnote w:type="continuationSeparator" w:id="0">
    <w:p w:rsidR="007557C1" w:rsidRDefault="00755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7C1" w:rsidRDefault="007557C1">
      <w:r>
        <w:separator/>
      </w:r>
    </w:p>
  </w:footnote>
  <w:footnote w:type="continuationSeparator" w:id="0">
    <w:p w:rsidR="007557C1" w:rsidRDefault="00755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42" w:rsidRPr="00DC6273" w:rsidRDefault="000B4FB6" w:rsidP="00FC33A9">
    <w:pPr>
      <w:spacing w:after="120"/>
      <w:jc w:val="center"/>
      <w:rPr>
        <w:rFonts w:ascii="Arial" w:hAnsi="Arial" w:cs="Arial"/>
        <w:sz w:val="16"/>
        <w:szCs w:val="16"/>
      </w:rPr>
    </w:pPr>
    <w:r w:rsidRPr="00A41A02">
      <w:rPr>
        <w:rFonts w:ascii="Arial" w:hAnsi="Arial" w:cs="Arial"/>
        <w:sz w:val="12"/>
        <w:szCs w:val="16"/>
      </w:rPr>
      <w:t>Republic of Namibia</w:t>
    </w:r>
    <w:r w:rsidR="00BF0042" w:rsidRPr="00FC33A9">
      <w:rPr>
        <w:rFonts w:ascii="Arial" w:hAnsi="Arial" w:cs="Arial"/>
        <w:w w:val="600"/>
        <w:sz w:val="12"/>
        <w:szCs w:val="16"/>
      </w:rPr>
      <w:t xml:space="preserve"> </w:t>
    </w:r>
    <w:r w:rsidR="00F92125" w:rsidRPr="00DC6273">
      <w:rPr>
        <w:rFonts w:ascii="Arial" w:hAnsi="Arial" w:cs="Arial"/>
        <w:b/>
        <w:noProof w:val="0"/>
        <w:sz w:val="16"/>
        <w:szCs w:val="16"/>
      </w:rPr>
      <w:fldChar w:fldCharType="begin"/>
    </w:r>
    <w:r w:rsidR="00BF0042" w:rsidRPr="00DC6273">
      <w:rPr>
        <w:rFonts w:ascii="Arial" w:hAnsi="Arial" w:cs="Arial"/>
        <w:b/>
        <w:sz w:val="16"/>
        <w:szCs w:val="16"/>
      </w:rPr>
      <w:instrText xml:space="preserve"> PAGE   \* MERGEFORMAT </w:instrText>
    </w:r>
    <w:r w:rsidR="00F92125" w:rsidRPr="00DC6273">
      <w:rPr>
        <w:rFonts w:ascii="Arial" w:hAnsi="Arial" w:cs="Arial"/>
        <w:b/>
        <w:noProof w:val="0"/>
        <w:sz w:val="16"/>
        <w:szCs w:val="16"/>
      </w:rPr>
      <w:fldChar w:fldCharType="separate"/>
    </w:r>
    <w:r w:rsidR="00BD651E">
      <w:rPr>
        <w:rFonts w:ascii="Arial" w:hAnsi="Arial" w:cs="Arial"/>
        <w:b/>
        <w:sz w:val="16"/>
        <w:szCs w:val="16"/>
      </w:rPr>
      <w:t>2</w:t>
    </w:r>
    <w:r w:rsidR="00F92125" w:rsidRPr="00DC6273">
      <w:rPr>
        <w:rFonts w:ascii="Arial" w:hAnsi="Arial" w:cs="Arial"/>
        <w:b/>
        <w:sz w:val="16"/>
        <w:szCs w:val="16"/>
      </w:rPr>
      <w:fldChar w:fldCharType="end"/>
    </w:r>
    <w:r w:rsidR="00BF0042" w:rsidRPr="00FC33A9">
      <w:rPr>
        <w:rFonts w:ascii="Arial" w:hAnsi="Arial" w:cs="Arial"/>
        <w:w w:val="600"/>
        <w:sz w:val="12"/>
        <w:szCs w:val="16"/>
      </w:rPr>
      <w:t xml:space="preserve"> </w:t>
    </w:r>
    <w:r>
      <w:rPr>
        <w:rFonts w:ascii="Arial" w:hAnsi="Arial" w:cs="Arial"/>
        <w:sz w:val="12"/>
        <w:szCs w:val="16"/>
      </w:rPr>
      <w:t>Annotated Statutes</w:t>
    </w:r>
    <w:r w:rsidR="00BF0042">
      <w:rPr>
        <w:rFonts w:ascii="Arial" w:hAnsi="Arial" w:cs="Arial"/>
        <w:b/>
        <w:sz w:val="16"/>
        <w:szCs w:val="16"/>
      </w:rPr>
      <w:t xml:space="preserve"> </w:t>
    </w:r>
  </w:p>
  <w:p w:rsidR="00BF0042" w:rsidRDefault="00CB0F68" w:rsidP="00382133">
    <w:pPr>
      <w:pStyle w:val="ASHeader"/>
    </w:pPr>
    <w:r w:rsidRPr="00CB0F68">
      <w:t>Demonstrations in or near Court Buildings Prohibition Act 71 of 1982</w:t>
    </w:r>
    <w:r>
      <w:t xml:space="preserve"> (RSA)</w:t>
    </w:r>
    <w:r w:rsidR="00BF0042" w:rsidRPr="00DC6273">
      <w:t xml:space="preserve"> </w:t>
    </w:r>
  </w:p>
  <w:p w:rsidR="00BF0042" w:rsidRPr="00940A34" w:rsidRDefault="00BF0042"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6"/>
  <w:displayBackgroundShape/>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B73F9A"/>
    <w:rsid w:val="00000812"/>
    <w:rsid w:val="00003DCF"/>
    <w:rsid w:val="00004F6B"/>
    <w:rsid w:val="00005EE8"/>
    <w:rsid w:val="00010B81"/>
    <w:rsid w:val="000133A8"/>
    <w:rsid w:val="00023D2F"/>
    <w:rsid w:val="000242FF"/>
    <w:rsid w:val="00024D3E"/>
    <w:rsid w:val="00044972"/>
    <w:rsid w:val="00045A94"/>
    <w:rsid w:val="000468C7"/>
    <w:rsid w:val="000608EE"/>
    <w:rsid w:val="000614EF"/>
    <w:rsid w:val="000622BB"/>
    <w:rsid w:val="00066DEF"/>
    <w:rsid w:val="0007067C"/>
    <w:rsid w:val="000744EC"/>
    <w:rsid w:val="00074AFC"/>
    <w:rsid w:val="000757E1"/>
    <w:rsid w:val="00075F06"/>
    <w:rsid w:val="00077C38"/>
    <w:rsid w:val="00080C29"/>
    <w:rsid w:val="00080C45"/>
    <w:rsid w:val="000814D8"/>
    <w:rsid w:val="000835C8"/>
    <w:rsid w:val="00084A4D"/>
    <w:rsid w:val="000A2439"/>
    <w:rsid w:val="000A4D98"/>
    <w:rsid w:val="000B366E"/>
    <w:rsid w:val="000B4FB6"/>
    <w:rsid w:val="000B54EB"/>
    <w:rsid w:val="000B60FA"/>
    <w:rsid w:val="000C01AC"/>
    <w:rsid w:val="000C416E"/>
    <w:rsid w:val="000C5263"/>
    <w:rsid w:val="000D2F5A"/>
    <w:rsid w:val="000D3B3A"/>
    <w:rsid w:val="000E21FC"/>
    <w:rsid w:val="000E427F"/>
    <w:rsid w:val="000E5C90"/>
    <w:rsid w:val="000F1E72"/>
    <w:rsid w:val="000F4429"/>
    <w:rsid w:val="000F7993"/>
    <w:rsid w:val="00110F54"/>
    <w:rsid w:val="001128C3"/>
    <w:rsid w:val="00121135"/>
    <w:rsid w:val="00133371"/>
    <w:rsid w:val="00142743"/>
    <w:rsid w:val="00143E17"/>
    <w:rsid w:val="001471FB"/>
    <w:rsid w:val="00152AB1"/>
    <w:rsid w:val="001565F4"/>
    <w:rsid w:val="00157469"/>
    <w:rsid w:val="0015761F"/>
    <w:rsid w:val="001636EC"/>
    <w:rsid w:val="00164718"/>
    <w:rsid w:val="001761C1"/>
    <w:rsid w:val="00186652"/>
    <w:rsid w:val="001A3C2E"/>
    <w:rsid w:val="001B032A"/>
    <w:rsid w:val="001B0E17"/>
    <w:rsid w:val="001B2C14"/>
    <w:rsid w:val="001B66AB"/>
    <w:rsid w:val="001C081C"/>
    <w:rsid w:val="001C1B1A"/>
    <w:rsid w:val="001C3895"/>
    <w:rsid w:val="001D22A0"/>
    <w:rsid w:val="001D6485"/>
    <w:rsid w:val="001E2B91"/>
    <w:rsid w:val="001E2C19"/>
    <w:rsid w:val="001E402E"/>
    <w:rsid w:val="001E42D4"/>
    <w:rsid w:val="001F2A4A"/>
    <w:rsid w:val="001F3C36"/>
    <w:rsid w:val="00221C58"/>
    <w:rsid w:val="0023567D"/>
    <w:rsid w:val="00243AEB"/>
    <w:rsid w:val="00255B09"/>
    <w:rsid w:val="00261EC4"/>
    <w:rsid w:val="002629BD"/>
    <w:rsid w:val="00265308"/>
    <w:rsid w:val="002655B6"/>
    <w:rsid w:val="00273668"/>
    <w:rsid w:val="00273B44"/>
    <w:rsid w:val="00275EF6"/>
    <w:rsid w:val="00280DCD"/>
    <w:rsid w:val="002831B8"/>
    <w:rsid w:val="00286A4D"/>
    <w:rsid w:val="00286E57"/>
    <w:rsid w:val="002907F0"/>
    <w:rsid w:val="002964E7"/>
    <w:rsid w:val="002A044B"/>
    <w:rsid w:val="002A4499"/>
    <w:rsid w:val="002A6CF2"/>
    <w:rsid w:val="002B4E1F"/>
    <w:rsid w:val="002D1D4C"/>
    <w:rsid w:val="002D4ED3"/>
    <w:rsid w:val="002D7E0C"/>
    <w:rsid w:val="002E3094"/>
    <w:rsid w:val="002F4347"/>
    <w:rsid w:val="00304858"/>
    <w:rsid w:val="00312523"/>
    <w:rsid w:val="003231E1"/>
    <w:rsid w:val="00326072"/>
    <w:rsid w:val="00330E75"/>
    <w:rsid w:val="00332A15"/>
    <w:rsid w:val="00336B1F"/>
    <w:rsid w:val="003407C1"/>
    <w:rsid w:val="00342579"/>
    <w:rsid w:val="003449A3"/>
    <w:rsid w:val="0035589F"/>
    <w:rsid w:val="00363299"/>
    <w:rsid w:val="00363E94"/>
    <w:rsid w:val="00366718"/>
    <w:rsid w:val="003672C4"/>
    <w:rsid w:val="0037208D"/>
    <w:rsid w:val="003778DA"/>
    <w:rsid w:val="00377FBD"/>
    <w:rsid w:val="00380973"/>
    <w:rsid w:val="00382133"/>
    <w:rsid w:val="003837C6"/>
    <w:rsid w:val="00394930"/>
    <w:rsid w:val="00394B3B"/>
    <w:rsid w:val="003A5DAC"/>
    <w:rsid w:val="003B440D"/>
    <w:rsid w:val="003B6581"/>
    <w:rsid w:val="003C37A0"/>
    <w:rsid w:val="003C5F5A"/>
    <w:rsid w:val="003C5FB5"/>
    <w:rsid w:val="003C7232"/>
    <w:rsid w:val="003D233B"/>
    <w:rsid w:val="003D4EAA"/>
    <w:rsid w:val="003D6636"/>
    <w:rsid w:val="003D76EF"/>
    <w:rsid w:val="003E2DE5"/>
    <w:rsid w:val="003E6206"/>
    <w:rsid w:val="003E634D"/>
    <w:rsid w:val="003E76D6"/>
    <w:rsid w:val="003F5241"/>
    <w:rsid w:val="003F6D96"/>
    <w:rsid w:val="00401FBB"/>
    <w:rsid w:val="00406360"/>
    <w:rsid w:val="00416A53"/>
    <w:rsid w:val="00424C03"/>
    <w:rsid w:val="00426221"/>
    <w:rsid w:val="004347BA"/>
    <w:rsid w:val="00443021"/>
    <w:rsid w:val="00447229"/>
    <w:rsid w:val="00453046"/>
    <w:rsid w:val="00453682"/>
    <w:rsid w:val="00456986"/>
    <w:rsid w:val="00466077"/>
    <w:rsid w:val="00474D22"/>
    <w:rsid w:val="0048092C"/>
    <w:rsid w:val="00481E77"/>
    <w:rsid w:val="004841E8"/>
    <w:rsid w:val="00491FC6"/>
    <w:rsid w:val="004920DB"/>
    <w:rsid w:val="00494F0F"/>
    <w:rsid w:val="00494F9F"/>
    <w:rsid w:val="0049507E"/>
    <w:rsid w:val="004A01D1"/>
    <w:rsid w:val="004B13C6"/>
    <w:rsid w:val="004B5A3C"/>
    <w:rsid w:val="004C1DA0"/>
    <w:rsid w:val="004D0854"/>
    <w:rsid w:val="004D2FFC"/>
    <w:rsid w:val="004D67C8"/>
    <w:rsid w:val="004E4868"/>
    <w:rsid w:val="004E5244"/>
    <w:rsid w:val="004F6FB0"/>
    <w:rsid w:val="004F7202"/>
    <w:rsid w:val="004F72F4"/>
    <w:rsid w:val="00501CAB"/>
    <w:rsid w:val="00503297"/>
    <w:rsid w:val="005101FF"/>
    <w:rsid w:val="00512242"/>
    <w:rsid w:val="00512DA3"/>
    <w:rsid w:val="00514000"/>
    <w:rsid w:val="00515D04"/>
    <w:rsid w:val="00524ECC"/>
    <w:rsid w:val="00527ABE"/>
    <w:rsid w:val="00532451"/>
    <w:rsid w:val="00542D73"/>
    <w:rsid w:val="0055440A"/>
    <w:rsid w:val="0056066A"/>
    <w:rsid w:val="00563E95"/>
    <w:rsid w:val="005646F3"/>
    <w:rsid w:val="0056755A"/>
    <w:rsid w:val="00572B50"/>
    <w:rsid w:val="00574AEC"/>
    <w:rsid w:val="00577B02"/>
    <w:rsid w:val="00580EC5"/>
    <w:rsid w:val="00582A2E"/>
    <w:rsid w:val="0058749F"/>
    <w:rsid w:val="005955EA"/>
    <w:rsid w:val="00597B78"/>
    <w:rsid w:val="005A2789"/>
    <w:rsid w:val="005B23AF"/>
    <w:rsid w:val="005C25CF"/>
    <w:rsid w:val="005C303C"/>
    <w:rsid w:val="005C3212"/>
    <w:rsid w:val="005C7F82"/>
    <w:rsid w:val="005D0866"/>
    <w:rsid w:val="005D537D"/>
    <w:rsid w:val="005D5858"/>
    <w:rsid w:val="005D5C82"/>
    <w:rsid w:val="005D5CAF"/>
    <w:rsid w:val="005E0DE1"/>
    <w:rsid w:val="005E75FD"/>
    <w:rsid w:val="00601274"/>
    <w:rsid w:val="00604AAC"/>
    <w:rsid w:val="00607964"/>
    <w:rsid w:val="00613086"/>
    <w:rsid w:val="0062075A"/>
    <w:rsid w:val="006271AA"/>
    <w:rsid w:val="006335C5"/>
    <w:rsid w:val="00634DA7"/>
    <w:rsid w:val="006350C4"/>
    <w:rsid w:val="00642844"/>
    <w:rsid w:val="0064409B"/>
    <w:rsid w:val="00645C44"/>
    <w:rsid w:val="00651EA5"/>
    <w:rsid w:val="0065745C"/>
    <w:rsid w:val="00660511"/>
    <w:rsid w:val="006704C7"/>
    <w:rsid w:val="00672978"/>
    <w:rsid w:val="006737D3"/>
    <w:rsid w:val="0067435B"/>
    <w:rsid w:val="00674E63"/>
    <w:rsid w:val="0067609F"/>
    <w:rsid w:val="006857FE"/>
    <w:rsid w:val="00687058"/>
    <w:rsid w:val="00694677"/>
    <w:rsid w:val="00697FAC"/>
    <w:rsid w:val="006A03A3"/>
    <w:rsid w:val="006A11C3"/>
    <w:rsid w:val="006A6EA7"/>
    <w:rsid w:val="006A74BC"/>
    <w:rsid w:val="006B0358"/>
    <w:rsid w:val="006B503F"/>
    <w:rsid w:val="006B64A8"/>
    <w:rsid w:val="006B6E6E"/>
    <w:rsid w:val="006C24CB"/>
    <w:rsid w:val="006C6020"/>
    <w:rsid w:val="006D0225"/>
    <w:rsid w:val="006D1681"/>
    <w:rsid w:val="006D2E1F"/>
    <w:rsid w:val="006F4153"/>
    <w:rsid w:val="006F594C"/>
    <w:rsid w:val="006F7F2A"/>
    <w:rsid w:val="00701118"/>
    <w:rsid w:val="00704C6B"/>
    <w:rsid w:val="00705BD4"/>
    <w:rsid w:val="00706159"/>
    <w:rsid w:val="007107EE"/>
    <w:rsid w:val="00714BA2"/>
    <w:rsid w:val="007166C4"/>
    <w:rsid w:val="007211A4"/>
    <w:rsid w:val="00726D6D"/>
    <w:rsid w:val="00727E48"/>
    <w:rsid w:val="00732D8B"/>
    <w:rsid w:val="00737805"/>
    <w:rsid w:val="00740FDE"/>
    <w:rsid w:val="00746B11"/>
    <w:rsid w:val="007472C3"/>
    <w:rsid w:val="0075097C"/>
    <w:rsid w:val="00752131"/>
    <w:rsid w:val="007557C1"/>
    <w:rsid w:val="00760524"/>
    <w:rsid w:val="00760B40"/>
    <w:rsid w:val="00772C52"/>
    <w:rsid w:val="007826D3"/>
    <w:rsid w:val="00793315"/>
    <w:rsid w:val="00794D4F"/>
    <w:rsid w:val="007A0311"/>
    <w:rsid w:val="007A4003"/>
    <w:rsid w:val="007A5F9C"/>
    <w:rsid w:val="007C01FC"/>
    <w:rsid w:val="007C2592"/>
    <w:rsid w:val="007C276C"/>
    <w:rsid w:val="007D4551"/>
    <w:rsid w:val="007D662E"/>
    <w:rsid w:val="007E1918"/>
    <w:rsid w:val="007E2B35"/>
    <w:rsid w:val="007E30CA"/>
    <w:rsid w:val="007E461E"/>
    <w:rsid w:val="007E4620"/>
    <w:rsid w:val="007E4FEC"/>
    <w:rsid w:val="007E5CEF"/>
    <w:rsid w:val="007F010C"/>
    <w:rsid w:val="007F1473"/>
    <w:rsid w:val="007F365E"/>
    <w:rsid w:val="007F45A7"/>
    <w:rsid w:val="00800A2F"/>
    <w:rsid w:val="00806ACE"/>
    <w:rsid w:val="00807638"/>
    <w:rsid w:val="00807B4A"/>
    <w:rsid w:val="0081452C"/>
    <w:rsid w:val="00825C43"/>
    <w:rsid w:val="00827730"/>
    <w:rsid w:val="0083145E"/>
    <w:rsid w:val="008351B0"/>
    <w:rsid w:val="0084023E"/>
    <w:rsid w:val="0084469D"/>
    <w:rsid w:val="00844B2D"/>
    <w:rsid w:val="008604B2"/>
    <w:rsid w:val="00861DFE"/>
    <w:rsid w:val="00862825"/>
    <w:rsid w:val="00867F1A"/>
    <w:rsid w:val="00874F6F"/>
    <w:rsid w:val="00875062"/>
    <w:rsid w:val="008754D1"/>
    <w:rsid w:val="0087687F"/>
    <w:rsid w:val="00886238"/>
    <w:rsid w:val="00892211"/>
    <w:rsid w:val="008938F7"/>
    <w:rsid w:val="008956EA"/>
    <w:rsid w:val="008972AF"/>
    <w:rsid w:val="008A053C"/>
    <w:rsid w:val="008A523D"/>
    <w:rsid w:val="008A6BB2"/>
    <w:rsid w:val="008B3137"/>
    <w:rsid w:val="008B568D"/>
    <w:rsid w:val="008B5FE3"/>
    <w:rsid w:val="008C2C1A"/>
    <w:rsid w:val="008D3142"/>
    <w:rsid w:val="008D7F66"/>
    <w:rsid w:val="00901BEF"/>
    <w:rsid w:val="009026ED"/>
    <w:rsid w:val="009055B3"/>
    <w:rsid w:val="00905B0F"/>
    <w:rsid w:val="00906749"/>
    <w:rsid w:val="00914263"/>
    <w:rsid w:val="009202D3"/>
    <w:rsid w:val="00922786"/>
    <w:rsid w:val="00923066"/>
    <w:rsid w:val="00924D83"/>
    <w:rsid w:val="0093242F"/>
    <w:rsid w:val="00933C53"/>
    <w:rsid w:val="00940A34"/>
    <w:rsid w:val="0094272F"/>
    <w:rsid w:val="00961AC0"/>
    <w:rsid w:val="00963D1F"/>
    <w:rsid w:val="00965D02"/>
    <w:rsid w:val="009674A5"/>
    <w:rsid w:val="0097618B"/>
    <w:rsid w:val="009774F9"/>
    <w:rsid w:val="009830C2"/>
    <w:rsid w:val="0099219B"/>
    <w:rsid w:val="00993997"/>
    <w:rsid w:val="009968F2"/>
    <w:rsid w:val="00997B8B"/>
    <w:rsid w:val="009A393E"/>
    <w:rsid w:val="009A73DE"/>
    <w:rsid w:val="009B0E42"/>
    <w:rsid w:val="009D3443"/>
    <w:rsid w:val="009D3DBD"/>
    <w:rsid w:val="009E66C3"/>
    <w:rsid w:val="009E79BE"/>
    <w:rsid w:val="009F0F2B"/>
    <w:rsid w:val="009F33C9"/>
    <w:rsid w:val="009F4A96"/>
    <w:rsid w:val="009F7600"/>
    <w:rsid w:val="00A03365"/>
    <w:rsid w:val="00A07879"/>
    <w:rsid w:val="00A13E3B"/>
    <w:rsid w:val="00A1474E"/>
    <w:rsid w:val="00A1618E"/>
    <w:rsid w:val="00A17183"/>
    <w:rsid w:val="00A23E01"/>
    <w:rsid w:val="00A24135"/>
    <w:rsid w:val="00A25C8D"/>
    <w:rsid w:val="00A41A02"/>
    <w:rsid w:val="00A50D6A"/>
    <w:rsid w:val="00A537B0"/>
    <w:rsid w:val="00A6030E"/>
    <w:rsid w:val="00A60798"/>
    <w:rsid w:val="00A60BC7"/>
    <w:rsid w:val="00A62552"/>
    <w:rsid w:val="00A65C80"/>
    <w:rsid w:val="00A7060B"/>
    <w:rsid w:val="00A70FA1"/>
    <w:rsid w:val="00A927B8"/>
    <w:rsid w:val="00A92C42"/>
    <w:rsid w:val="00A96B49"/>
    <w:rsid w:val="00A96D72"/>
    <w:rsid w:val="00A97ED0"/>
    <w:rsid w:val="00AA0195"/>
    <w:rsid w:val="00AA24D4"/>
    <w:rsid w:val="00AA41AD"/>
    <w:rsid w:val="00AB3AEC"/>
    <w:rsid w:val="00AB4E72"/>
    <w:rsid w:val="00AB5B30"/>
    <w:rsid w:val="00AC0093"/>
    <w:rsid w:val="00AC0484"/>
    <w:rsid w:val="00AC2203"/>
    <w:rsid w:val="00AC2903"/>
    <w:rsid w:val="00AC48A2"/>
    <w:rsid w:val="00AC4FD6"/>
    <w:rsid w:val="00AC571E"/>
    <w:rsid w:val="00AD2FDB"/>
    <w:rsid w:val="00AD7E9B"/>
    <w:rsid w:val="00AE6B19"/>
    <w:rsid w:val="00AF43EC"/>
    <w:rsid w:val="00AF4B41"/>
    <w:rsid w:val="00AF5241"/>
    <w:rsid w:val="00B029A1"/>
    <w:rsid w:val="00B05653"/>
    <w:rsid w:val="00B13906"/>
    <w:rsid w:val="00B15262"/>
    <w:rsid w:val="00B173DC"/>
    <w:rsid w:val="00B2275A"/>
    <w:rsid w:val="00B23CAE"/>
    <w:rsid w:val="00B26C33"/>
    <w:rsid w:val="00B34C80"/>
    <w:rsid w:val="00B4106D"/>
    <w:rsid w:val="00B44C4A"/>
    <w:rsid w:val="00B47524"/>
    <w:rsid w:val="00B55602"/>
    <w:rsid w:val="00B573B0"/>
    <w:rsid w:val="00B61E7F"/>
    <w:rsid w:val="00B66E4C"/>
    <w:rsid w:val="00B73F9A"/>
    <w:rsid w:val="00B74BEC"/>
    <w:rsid w:val="00B8798B"/>
    <w:rsid w:val="00B87FDA"/>
    <w:rsid w:val="00B91578"/>
    <w:rsid w:val="00B94F2F"/>
    <w:rsid w:val="00BA38AD"/>
    <w:rsid w:val="00BA6B35"/>
    <w:rsid w:val="00BC3E37"/>
    <w:rsid w:val="00BC697F"/>
    <w:rsid w:val="00BD132F"/>
    <w:rsid w:val="00BD4143"/>
    <w:rsid w:val="00BD5386"/>
    <w:rsid w:val="00BD651E"/>
    <w:rsid w:val="00BE17CD"/>
    <w:rsid w:val="00BE1E9C"/>
    <w:rsid w:val="00BE2F23"/>
    <w:rsid w:val="00BE6884"/>
    <w:rsid w:val="00BE7044"/>
    <w:rsid w:val="00BE7D34"/>
    <w:rsid w:val="00BF0042"/>
    <w:rsid w:val="00BF0967"/>
    <w:rsid w:val="00C020A0"/>
    <w:rsid w:val="00C0491E"/>
    <w:rsid w:val="00C07D1F"/>
    <w:rsid w:val="00C12F2A"/>
    <w:rsid w:val="00C2525F"/>
    <w:rsid w:val="00C27873"/>
    <w:rsid w:val="00C30331"/>
    <w:rsid w:val="00C332FE"/>
    <w:rsid w:val="00C35013"/>
    <w:rsid w:val="00C4107D"/>
    <w:rsid w:val="00C433F6"/>
    <w:rsid w:val="00C547F7"/>
    <w:rsid w:val="00C700C6"/>
    <w:rsid w:val="00C74183"/>
    <w:rsid w:val="00C74CDA"/>
    <w:rsid w:val="00C778D1"/>
    <w:rsid w:val="00C82530"/>
    <w:rsid w:val="00C863E3"/>
    <w:rsid w:val="00CA1AEE"/>
    <w:rsid w:val="00CA242D"/>
    <w:rsid w:val="00CA67D0"/>
    <w:rsid w:val="00CA69A3"/>
    <w:rsid w:val="00CA7B34"/>
    <w:rsid w:val="00CB0F68"/>
    <w:rsid w:val="00CB2BFD"/>
    <w:rsid w:val="00CB68BA"/>
    <w:rsid w:val="00CB6BDD"/>
    <w:rsid w:val="00CC2809"/>
    <w:rsid w:val="00CC767B"/>
    <w:rsid w:val="00CD68CE"/>
    <w:rsid w:val="00CE6415"/>
    <w:rsid w:val="00CE7759"/>
    <w:rsid w:val="00CF1986"/>
    <w:rsid w:val="00D021A1"/>
    <w:rsid w:val="00D116B8"/>
    <w:rsid w:val="00D17C4F"/>
    <w:rsid w:val="00D23821"/>
    <w:rsid w:val="00D25D4E"/>
    <w:rsid w:val="00D263A2"/>
    <w:rsid w:val="00D31166"/>
    <w:rsid w:val="00D400F5"/>
    <w:rsid w:val="00D43726"/>
    <w:rsid w:val="00D45D02"/>
    <w:rsid w:val="00D51089"/>
    <w:rsid w:val="00D574A4"/>
    <w:rsid w:val="00D63698"/>
    <w:rsid w:val="00D94444"/>
    <w:rsid w:val="00D9603B"/>
    <w:rsid w:val="00DA3240"/>
    <w:rsid w:val="00DA5C40"/>
    <w:rsid w:val="00DB60E4"/>
    <w:rsid w:val="00DC6273"/>
    <w:rsid w:val="00DC6485"/>
    <w:rsid w:val="00DC7EE1"/>
    <w:rsid w:val="00DD0E75"/>
    <w:rsid w:val="00DD2076"/>
    <w:rsid w:val="00DE1053"/>
    <w:rsid w:val="00DE3D9E"/>
    <w:rsid w:val="00DE4054"/>
    <w:rsid w:val="00DF0566"/>
    <w:rsid w:val="00E0318D"/>
    <w:rsid w:val="00E0419C"/>
    <w:rsid w:val="00E04F02"/>
    <w:rsid w:val="00E21488"/>
    <w:rsid w:val="00E263B2"/>
    <w:rsid w:val="00E31562"/>
    <w:rsid w:val="00E31801"/>
    <w:rsid w:val="00E329A5"/>
    <w:rsid w:val="00E33916"/>
    <w:rsid w:val="00E54592"/>
    <w:rsid w:val="00E55495"/>
    <w:rsid w:val="00E57A03"/>
    <w:rsid w:val="00E612E3"/>
    <w:rsid w:val="00E70AA9"/>
    <w:rsid w:val="00E72110"/>
    <w:rsid w:val="00E724E8"/>
    <w:rsid w:val="00E77968"/>
    <w:rsid w:val="00E82C4E"/>
    <w:rsid w:val="00E84C22"/>
    <w:rsid w:val="00E85219"/>
    <w:rsid w:val="00E93CB2"/>
    <w:rsid w:val="00E96A80"/>
    <w:rsid w:val="00EA3CEA"/>
    <w:rsid w:val="00EB000A"/>
    <w:rsid w:val="00EB1BBB"/>
    <w:rsid w:val="00EB67E8"/>
    <w:rsid w:val="00EB7298"/>
    <w:rsid w:val="00EC1446"/>
    <w:rsid w:val="00EC2AC9"/>
    <w:rsid w:val="00ED0F60"/>
    <w:rsid w:val="00ED6F8F"/>
    <w:rsid w:val="00EE2247"/>
    <w:rsid w:val="00EE2CEA"/>
    <w:rsid w:val="00EE64B7"/>
    <w:rsid w:val="00EF2826"/>
    <w:rsid w:val="00EF3E7B"/>
    <w:rsid w:val="00F045FC"/>
    <w:rsid w:val="00F057A4"/>
    <w:rsid w:val="00F1418D"/>
    <w:rsid w:val="00F22B1C"/>
    <w:rsid w:val="00F23EB1"/>
    <w:rsid w:val="00F2620B"/>
    <w:rsid w:val="00F37578"/>
    <w:rsid w:val="00F42DE5"/>
    <w:rsid w:val="00F47652"/>
    <w:rsid w:val="00F52BC9"/>
    <w:rsid w:val="00F56938"/>
    <w:rsid w:val="00F63D12"/>
    <w:rsid w:val="00F67230"/>
    <w:rsid w:val="00F83D13"/>
    <w:rsid w:val="00F870B9"/>
    <w:rsid w:val="00F92125"/>
    <w:rsid w:val="00F9429A"/>
    <w:rsid w:val="00F969A2"/>
    <w:rsid w:val="00FA450D"/>
    <w:rsid w:val="00FA6D09"/>
    <w:rsid w:val="00FB2064"/>
    <w:rsid w:val="00FB375A"/>
    <w:rsid w:val="00FB4CB8"/>
    <w:rsid w:val="00FC25AF"/>
    <w:rsid w:val="00FC2B86"/>
    <w:rsid w:val="00FC33A9"/>
    <w:rsid w:val="00FD3B7A"/>
    <w:rsid w:val="00FD54D1"/>
    <w:rsid w:val="00FD62D3"/>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CCE4079-0023-4648-BA36-273F2D9E1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D25D4E"/>
    <w:pPr>
      <w:spacing w:after="0" w:line="240" w:lineRule="auto"/>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25D4E"/>
    <w:pPr>
      <w:tabs>
        <w:tab w:val="center" w:pos="4513"/>
        <w:tab w:val="right" w:pos="9026"/>
      </w:tabs>
    </w:pPr>
  </w:style>
  <w:style w:type="character" w:customStyle="1" w:styleId="FooterChar">
    <w:name w:val="Footer Char"/>
    <w:basedOn w:val="DefaultParagraphFont"/>
    <w:link w:val="Footer"/>
    <w:uiPriority w:val="99"/>
    <w:rsid w:val="00D25D4E"/>
    <w:rPr>
      <w:rFonts w:ascii="Times New Roman" w:hAnsi="Times New Roman"/>
      <w:noProof/>
    </w:rPr>
  </w:style>
  <w:style w:type="paragraph" w:styleId="Header">
    <w:name w:val="header"/>
    <w:basedOn w:val="Normal"/>
    <w:link w:val="HeaderChar"/>
    <w:uiPriority w:val="99"/>
    <w:unhideWhenUsed/>
    <w:rsid w:val="00D25D4E"/>
    <w:pPr>
      <w:tabs>
        <w:tab w:val="center" w:pos="4513"/>
        <w:tab w:val="right" w:pos="9026"/>
      </w:tabs>
    </w:pPr>
  </w:style>
  <w:style w:type="character" w:customStyle="1" w:styleId="HeaderChar">
    <w:name w:val="Header Char"/>
    <w:basedOn w:val="DefaultParagraphFont"/>
    <w:link w:val="Header"/>
    <w:uiPriority w:val="99"/>
    <w:rsid w:val="00D25D4E"/>
    <w:rPr>
      <w:rFonts w:ascii="Times New Roman" w:hAnsi="Times New Roman"/>
      <w:noProof/>
    </w:rPr>
  </w:style>
  <w:style w:type="paragraph" w:styleId="BalloonText">
    <w:name w:val="Balloon Text"/>
    <w:basedOn w:val="Normal"/>
    <w:link w:val="BalloonTextChar"/>
    <w:uiPriority w:val="99"/>
    <w:semiHidden/>
    <w:unhideWhenUsed/>
    <w:rsid w:val="00D25D4E"/>
    <w:rPr>
      <w:rFonts w:ascii="Tahoma" w:hAnsi="Tahoma" w:cs="Tahoma"/>
      <w:sz w:val="16"/>
      <w:szCs w:val="16"/>
    </w:rPr>
  </w:style>
  <w:style w:type="character" w:customStyle="1" w:styleId="BalloonTextChar">
    <w:name w:val="Balloon Text Char"/>
    <w:basedOn w:val="DefaultParagraphFont"/>
    <w:link w:val="BalloonText"/>
    <w:uiPriority w:val="99"/>
    <w:semiHidden/>
    <w:rsid w:val="00D25D4E"/>
    <w:rPr>
      <w:rFonts w:ascii="Tahoma" w:hAnsi="Tahoma" w:cs="Tahoma"/>
      <w:noProof/>
      <w:sz w:val="16"/>
      <w:szCs w:val="16"/>
    </w:rPr>
  </w:style>
  <w:style w:type="paragraph" w:customStyle="1" w:styleId="AS-H3A">
    <w:name w:val="AS-H3A"/>
    <w:basedOn w:val="Normal"/>
    <w:link w:val="AS-H3AChar"/>
    <w:autoRedefine/>
    <w:qFormat/>
    <w:rsid w:val="00D25D4E"/>
    <w:pPr>
      <w:autoSpaceDE w:val="0"/>
      <w:autoSpaceDN w:val="0"/>
      <w:adjustRightInd w:val="0"/>
      <w:jc w:val="center"/>
    </w:pPr>
    <w:rPr>
      <w:rFonts w:cs="Times New Roman"/>
      <w:caps/>
    </w:rPr>
  </w:style>
  <w:style w:type="paragraph" w:styleId="ListBullet">
    <w:name w:val="List Bullet"/>
    <w:basedOn w:val="Normal"/>
    <w:uiPriority w:val="99"/>
    <w:unhideWhenUsed/>
    <w:rsid w:val="00D25D4E"/>
    <w:pPr>
      <w:numPr>
        <w:numId w:val="1"/>
      </w:numPr>
      <w:contextualSpacing/>
    </w:pPr>
  </w:style>
  <w:style w:type="character" w:customStyle="1" w:styleId="AS-H3AChar">
    <w:name w:val="AS-H3A Char"/>
    <w:basedOn w:val="DefaultParagraphFont"/>
    <w:link w:val="AS-H3A"/>
    <w:rsid w:val="00D25D4E"/>
    <w:rPr>
      <w:rFonts w:ascii="Times New Roman" w:hAnsi="Times New Roman" w:cs="Times New Roman"/>
      <w:caps/>
      <w:noProof/>
    </w:rPr>
  </w:style>
  <w:style w:type="character" w:customStyle="1" w:styleId="A3">
    <w:name w:val="A3"/>
    <w:uiPriority w:val="99"/>
    <w:rsid w:val="00D25D4E"/>
    <w:rPr>
      <w:rFonts w:cs="Times"/>
      <w:color w:val="000000"/>
      <w:sz w:val="22"/>
      <w:szCs w:val="22"/>
    </w:rPr>
  </w:style>
  <w:style w:type="paragraph" w:customStyle="1" w:styleId="Head2B">
    <w:name w:val="Head 2B"/>
    <w:basedOn w:val="AS-H3A"/>
    <w:link w:val="Head2BChar"/>
    <w:rsid w:val="00D25D4E"/>
  </w:style>
  <w:style w:type="paragraph" w:styleId="ListParagraph">
    <w:name w:val="List Paragraph"/>
    <w:basedOn w:val="Normal"/>
    <w:link w:val="ListParagraphChar"/>
    <w:uiPriority w:val="34"/>
    <w:qFormat/>
    <w:rsid w:val="00D25D4E"/>
    <w:pPr>
      <w:ind w:left="720"/>
      <w:contextualSpacing/>
    </w:pPr>
  </w:style>
  <w:style w:type="character" w:customStyle="1" w:styleId="Head2BChar">
    <w:name w:val="Head 2B Char"/>
    <w:basedOn w:val="AS-H3AChar"/>
    <w:link w:val="Head2B"/>
    <w:rsid w:val="00D25D4E"/>
    <w:rPr>
      <w:rFonts w:ascii="Times New Roman" w:hAnsi="Times New Roman" w:cs="Times New Roman"/>
      <w:caps/>
      <w:noProof/>
    </w:rPr>
  </w:style>
  <w:style w:type="paragraph" w:customStyle="1" w:styleId="Head3">
    <w:name w:val="Head 3"/>
    <w:basedOn w:val="ListParagraph"/>
    <w:link w:val="Head3Char"/>
    <w:rsid w:val="00D25D4E"/>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D25D4E"/>
    <w:rPr>
      <w:rFonts w:ascii="Times New Roman" w:hAnsi="Times New Roman"/>
      <w:noProof/>
    </w:rPr>
  </w:style>
  <w:style w:type="character" w:customStyle="1" w:styleId="Head3Char">
    <w:name w:val="Head 3 Char"/>
    <w:basedOn w:val="ListParagraphChar"/>
    <w:link w:val="Head3"/>
    <w:rsid w:val="00D25D4E"/>
    <w:rPr>
      <w:rFonts w:ascii="Times New Roman" w:eastAsia="Times New Roman" w:hAnsi="Times New Roman" w:cs="Times New Roman"/>
      <w:b/>
      <w:bCs/>
      <w:noProof/>
    </w:rPr>
  </w:style>
  <w:style w:type="paragraph" w:customStyle="1" w:styleId="AS-H1a">
    <w:name w:val="AS-H1a"/>
    <w:basedOn w:val="Normal"/>
    <w:link w:val="AS-H1aChar"/>
    <w:qFormat/>
    <w:rsid w:val="00D25D4E"/>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D25D4E"/>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D25D4E"/>
    <w:rPr>
      <w:rFonts w:ascii="Arial" w:hAnsi="Arial" w:cs="Arial"/>
      <w:b/>
      <w:noProof/>
      <w:sz w:val="36"/>
      <w:szCs w:val="36"/>
    </w:rPr>
  </w:style>
  <w:style w:type="paragraph" w:customStyle="1" w:styleId="AS-H1-Colour">
    <w:name w:val="AS-H1-Colour"/>
    <w:basedOn w:val="Normal"/>
    <w:link w:val="AS-H1-ColourChar"/>
    <w:rsid w:val="00D25D4E"/>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D25D4E"/>
    <w:rPr>
      <w:rFonts w:ascii="Times New Roman" w:hAnsi="Times New Roman" w:cs="Times New Roman"/>
      <w:b/>
      <w:caps/>
      <w:noProof/>
      <w:color w:val="000000"/>
      <w:sz w:val="26"/>
    </w:rPr>
  </w:style>
  <w:style w:type="paragraph" w:customStyle="1" w:styleId="AS-H2b">
    <w:name w:val="AS-H2b"/>
    <w:basedOn w:val="Normal"/>
    <w:link w:val="AS-H2bChar"/>
    <w:rsid w:val="00D25D4E"/>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D25D4E"/>
    <w:rPr>
      <w:rFonts w:ascii="Arial" w:hAnsi="Arial" w:cs="Arial"/>
      <w:b/>
      <w:noProof/>
      <w:color w:val="00B050"/>
      <w:sz w:val="36"/>
      <w:szCs w:val="36"/>
    </w:rPr>
  </w:style>
  <w:style w:type="paragraph" w:customStyle="1" w:styleId="AS-H3">
    <w:name w:val="AS-H3"/>
    <w:basedOn w:val="AS-H3A"/>
    <w:link w:val="AS-H3Char"/>
    <w:rsid w:val="00D25D4E"/>
    <w:rPr>
      <w:sz w:val="28"/>
    </w:rPr>
  </w:style>
  <w:style w:type="character" w:customStyle="1" w:styleId="AS-H2bChar">
    <w:name w:val="AS-H2b Char"/>
    <w:basedOn w:val="DefaultParagraphFont"/>
    <w:link w:val="AS-H2b"/>
    <w:rsid w:val="00D25D4E"/>
    <w:rPr>
      <w:rFonts w:ascii="Arial" w:hAnsi="Arial" w:cs="Arial"/>
      <w:noProof/>
    </w:rPr>
  </w:style>
  <w:style w:type="paragraph" w:customStyle="1" w:styleId="AS-H3b">
    <w:name w:val="AS-H3b"/>
    <w:basedOn w:val="Normal"/>
    <w:link w:val="AS-H3bChar"/>
    <w:autoRedefine/>
    <w:qFormat/>
    <w:rsid w:val="00D25D4E"/>
    <w:pPr>
      <w:jc w:val="center"/>
    </w:pPr>
    <w:rPr>
      <w:rFonts w:cs="Times New Roman"/>
      <w:smallCaps/>
    </w:rPr>
  </w:style>
  <w:style w:type="character" w:customStyle="1" w:styleId="AS-H3Char">
    <w:name w:val="AS-H3 Char"/>
    <w:basedOn w:val="AS-H3AChar"/>
    <w:link w:val="AS-H3"/>
    <w:rsid w:val="00D25D4E"/>
    <w:rPr>
      <w:rFonts w:ascii="Times New Roman" w:hAnsi="Times New Roman" w:cs="Times New Roman"/>
      <w:caps/>
      <w:noProof/>
      <w:sz w:val="28"/>
    </w:rPr>
  </w:style>
  <w:style w:type="paragraph" w:customStyle="1" w:styleId="AS-H3c">
    <w:name w:val="AS-H3c"/>
    <w:basedOn w:val="Head2B"/>
    <w:link w:val="AS-H3cChar"/>
    <w:rsid w:val="00D25D4E"/>
    <w:rPr>
      <w:b/>
    </w:rPr>
  </w:style>
  <w:style w:type="character" w:customStyle="1" w:styleId="AS-H3bChar">
    <w:name w:val="AS-H3b Char"/>
    <w:basedOn w:val="AS-H3AChar"/>
    <w:link w:val="AS-H3b"/>
    <w:rsid w:val="00D25D4E"/>
    <w:rPr>
      <w:rFonts w:ascii="Times New Roman" w:hAnsi="Times New Roman" w:cs="Times New Roman"/>
      <w:caps w:val="0"/>
      <w:smallCaps/>
      <w:noProof/>
    </w:rPr>
  </w:style>
  <w:style w:type="paragraph" w:customStyle="1" w:styleId="AS-H3d">
    <w:name w:val="AS-H3d"/>
    <w:basedOn w:val="Head2B"/>
    <w:link w:val="AS-H3dChar"/>
    <w:rsid w:val="00D25D4E"/>
  </w:style>
  <w:style w:type="character" w:customStyle="1" w:styleId="AS-H3cChar">
    <w:name w:val="AS-H3c Char"/>
    <w:basedOn w:val="Head2BChar"/>
    <w:link w:val="AS-H3c"/>
    <w:rsid w:val="00D25D4E"/>
    <w:rPr>
      <w:rFonts w:ascii="Times New Roman" w:hAnsi="Times New Roman" w:cs="Times New Roman"/>
      <w:b/>
      <w:caps/>
      <w:noProof/>
    </w:rPr>
  </w:style>
  <w:style w:type="paragraph" w:customStyle="1" w:styleId="AS-P0">
    <w:name w:val="AS-P(0)"/>
    <w:basedOn w:val="Normal"/>
    <w:link w:val="AS-P0Char"/>
    <w:qFormat/>
    <w:rsid w:val="00D25D4E"/>
    <w:pPr>
      <w:tabs>
        <w:tab w:val="left" w:pos="567"/>
      </w:tabs>
      <w:jc w:val="both"/>
    </w:pPr>
    <w:rPr>
      <w:rFonts w:eastAsia="Times New Roman" w:cs="Times New Roman"/>
    </w:rPr>
  </w:style>
  <w:style w:type="character" w:customStyle="1" w:styleId="AS-H3dChar">
    <w:name w:val="AS-H3d Char"/>
    <w:basedOn w:val="Head2BChar"/>
    <w:link w:val="AS-H3d"/>
    <w:rsid w:val="00D25D4E"/>
    <w:rPr>
      <w:rFonts w:ascii="Times New Roman" w:hAnsi="Times New Roman" w:cs="Times New Roman"/>
      <w:caps/>
      <w:noProof/>
    </w:rPr>
  </w:style>
  <w:style w:type="paragraph" w:customStyle="1" w:styleId="AS-P1">
    <w:name w:val="AS-P(1)"/>
    <w:basedOn w:val="Normal"/>
    <w:link w:val="AS-P1Char"/>
    <w:qFormat/>
    <w:rsid w:val="00D25D4E"/>
    <w:pPr>
      <w:suppressAutoHyphens/>
      <w:ind w:right="-7" w:firstLine="567"/>
      <w:jc w:val="both"/>
    </w:pPr>
    <w:rPr>
      <w:rFonts w:eastAsia="Times New Roman" w:cs="Times New Roman"/>
    </w:rPr>
  </w:style>
  <w:style w:type="character" w:customStyle="1" w:styleId="AS-P0Char">
    <w:name w:val="AS-P(0) Char"/>
    <w:basedOn w:val="DefaultParagraphFont"/>
    <w:link w:val="AS-P0"/>
    <w:rsid w:val="00D25D4E"/>
    <w:rPr>
      <w:rFonts w:ascii="Times New Roman" w:eastAsia="Times New Roman" w:hAnsi="Times New Roman" w:cs="Times New Roman"/>
      <w:noProof/>
    </w:rPr>
  </w:style>
  <w:style w:type="paragraph" w:customStyle="1" w:styleId="AS-Pa">
    <w:name w:val="AS-P(a)"/>
    <w:basedOn w:val="AS-Pahang"/>
    <w:link w:val="AS-PaChar"/>
    <w:qFormat/>
    <w:rsid w:val="00D25D4E"/>
  </w:style>
  <w:style w:type="character" w:customStyle="1" w:styleId="AS-P1Char">
    <w:name w:val="AS-P(1) Char"/>
    <w:basedOn w:val="DefaultParagraphFont"/>
    <w:link w:val="AS-P1"/>
    <w:rsid w:val="00D25D4E"/>
    <w:rPr>
      <w:rFonts w:ascii="Times New Roman" w:eastAsia="Times New Roman" w:hAnsi="Times New Roman" w:cs="Times New Roman"/>
      <w:noProof/>
    </w:rPr>
  </w:style>
  <w:style w:type="paragraph" w:customStyle="1" w:styleId="AS-Pi">
    <w:name w:val="AS-P(i)"/>
    <w:basedOn w:val="Normal"/>
    <w:link w:val="AS-PiChar"/>
    <w:qFormat/>
    <w:rsid w:val="00D25D4E"/>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D25D4E"/>
    <w:rPr>
      <w:rFonts w:ascii="Times New Roman" w:eastAsia="Times New Roman" w:hAnsi="Times New Roman" w:cs="Times New Roman"/>
      <w:noProof/>
    </w:rPr>
  </w:style>
  <w:style w:type="paragraph" w:customStyle="1" w:styleId="AS-Pahang">
    <w:name w:val="AS-P(a)hang"/>
    <w:basedOn w:val="Normal"/>
    <w:link w:val="AS-PahangChar"/>
    <w:rsid w:val="00D25D4E"/>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D25D4E"/>
    <w:rPr>
      <w:rFonts w:ascii="Times New Roman" w:eastAsia="Times New Roman" w:hAnsi="Times New Roman" w:cs="Times New Roman"/>
      <w:noProof/>
    </w:rPr>
  </w:style>
  <w:style w:type="paragraph" w:customStyle="1" w:styleId="AS-Paa">
    <w:name w:val="AS-P(aa)"/>
    <w:basedOn w:val="Normal"/>
    <w:link w:val="AS-PaaChar"/>
    <w:qFormat/>
    <w:rsid w:val="00D25D4E"/>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D25D4E"/>
    <w:rPr>
      <w:rFonts w:ascii="Times New Roman" w:eastAsia="Times New Roman" w:hAnsi="Times New Roman" w:cs="Times New Roman"/>
      <w:noProof/>
    </w:rPr>
  </w:style>
  <w:style w:type="paragraph" w:customStyle="1" w:styleId="AS-P-Amend">
    <w:name w:val="AS-P-Amend"/>
    <w:link w:val="AS-P-AmendChar"/>
    <w:qFormat/>
    <w:rsid w:val="00D25D4E"/>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D25D4E"/>
    <w:rPr>
      <w:rFonts w:ascii="Times New Roman" w:eastAsia="Times New Roman" w:hAnsi="Times New Roman" w:cs="Times New Roman"/>
      <w:noProof/>
    </w:rPr>
  </w:style>
  <w:style w:type="character" w:customStyle="1" w:styleId="AS-P-AmendChar">
    <w:name w:val="AS-P-Amend Char"/>
    <w:basedOn w:val="AS-P0Char"/>
    <w:link w:val="AS-P-Amend"/>
    <w:rsid w:val="00D25D4E"/>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D25D4E"/>
    <w:rPr>
      <w:sz w:val="16"/>
      <w:szCs w:val="16"/>
    </w:rPr>
  </w:style>
  <w:style w:type="paragraph" w:styleId="CommentText">
    <w:name w:val="annotation text"/>
    <w:basedOn w:val="Normal"/>
    <w:link w:val="CommentTextChar"/>
    <w:uiPriority w:val="99"/>
    <w:semiHidden/>
    <w:unhideWhenUsed/>
    <w:rsid w:val="00D25D4E"/>
    <w:rPr>
      <w:sz w:val="20"/>
      <w:szCs w:val="20"/>
    </w:rPr>
  </w:style>
  <w:style w:type="character" w:customStyle="1" w:styleId="CommentTextChar">
    <w:name w:val="Comment Text Char"/>
    <w:basedOn w:val="DefaultParagraphFont"/>
    <w:link w:val="CommentText"/>
    <w:uiPriority w:val="99"/>
    <w:semiHidden/>
    <w:rsid w:val="00D25D4E"/>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D25D4E"/>
    <w:rPr>
      <w:b/>
      <w:bCs/>
    </w:rPr>
  </w:style>
  <w:style w:type="character" w:customStyle="1" w:styleId="CommentSubjectChar">
    <w:name w:val="Comment Subject Char"/>
    <w:basedOn w:val="CommentTextChar"/>
    <w:link w:val="CommentSubject"/>
    <w:uiPriority w:val="99"/>
    <w:semiHidden/>
    <w:rsid w:val="00D25D4E"/>
    <w:rPr>
      <w:rFonts w:ascii="Times New Roman" w:hAnsi="Times New Roman"/>
      <w:b/>
      <w:bCs/>
      <w:noProof/>
      <w:sz w:val="20"/>
      <w:szCs w:val="20"/>
    </w:rPr>
  </w:style>
  <w:style w:type="paragraph" w:customStyle="1" w:styleId="AS-H4A">
    <w:name w:val="AS-H4A"/>
    <w:basedOn w:val="AS-P0"/>
    <w:link w:val="AS-H4AChar"/>
    <w:rsid w:val="00D25D4E"/>
    <w:pPr>
      <w:tabs>
        <w:tab w:val="clear" w:pos="567"/>
      </w:tabs>
      <w:jc w:val="center"/>
    </w:pPr>
    <w:rPr>
      <w:b/>
      <w:caps/>
    </w:rPr>
  </w:style>
  <w:style w:type="paragraph" w:customStyle="1" w:styleId="AS-H4b">
    <w:name w:val="AS-H4b"/>
    <w:basedOn w:val="AS-P0"/>
    <w:link w:val="AS-H4bChar"/>
    <w:rsid w:val="00D25D4E"/>
    <w:pPr>
      <w:tabs>
        <w:tab w:val="clear" w:pos="567"/>
      </w:tabs>
      <w:jc w:val="center"/>
    </w:pPr>
    <w:rPr>
      <w:b/>
    </w:rPr>
  </w:style>
  <w:style w:type="character" w:customStyle="1" w:styleId="AS-H4AChar">
    <w:name w:val="AS-H4A Char"/>
    <w:basedOn w:val="AS-P0Char"/>
    <w:link w:val="AS-H4A"/>
    <w:rsid w:val="00D25D4E"/>
    <w:rPr>
      <w:rFonts w:ascii="Times New Roman" w:eastAsia="Times New Roman" w:hAnsi="Times New Roman" w:cs="Times New Roman"/>
      <w:b/>
      <w:caps/>
      <w:noProof/>
    </w:rPr>
  </w:style>
  <w:style w:type="character" w:customStyle="1" w:styleId="AS-H4bChar">
    <w:name w:val="AS-H4b Char"/>
    <w:basedOn w:val="AS-P0Char"/>
    <w:link w:val="AS-H4b"/>
    <w:rsid w:val="00D25D4E"/>
    <w:rPr>
      <w:rFonts w:ascii="Times New Roman" w:eastAsia="Times New Roman" w:hAnsi="Times New Roman" w:cs="Times New Roman"/>
      <w:b/>
      <w:noProof/>
    </w:rPr>
  </w:style>
  <w:style w:type="paragraph" w:customStyle="1" w:styleId="AS-H2a">
    <w:name w:val="AS-H2a"/>
    <w:basedOn w:val="Normal"/>
    <w:link w:val="AS-H2aChar"/>
    <w:rsid w:val="00D25D4E"/>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D25D4E"/>
    <w:rPr>
      <w:rFonts w:ascii="Arial" w:hAnsi="Arial" w:cs="Arial"/>
      <w:b/>
      <w:noProof/>
    </w:rPr>
  </w:style>
  <w:style w:type="paragraph" w:customStyle="1" w:styleId="AS-H1b">
    <w:name w:val="AS-H1b"/>
    <w:basedOn w:val="Normal"/>
    <w:link w:val="AS-H1bChar"/>
    <w:qFormat/>
    <w:rsid w:val="00D25D4E"/>
    <w:pPr>
      <w:jc w:val="center"/>
    </w:pPr>
    <w:rPr>
      <w:rFonts w:ascii="Arial" w:hAnsi="Arial" w:cs="Arial"/>
      <w:b/>
      <w:color w:val="000000"/>
      <w:sz w:val="24"/>
      <w:szCs w:val="24"/>
      <w:lang w:val="en-ZA"/>
    </w:rPr>
  </w:style>
  <w:style w:type="character" w:customStyle="1" w:styleId="AS-H1bChar">
    <w:name w:val="AS-H1b Char"/>
    <w:basedOn w:val="AS-H2aChar"/>
    <w:link w:val="AS-H1b"/>
    <w:rsid w:val="00D25D4E"/>
    <w:rPr>
      <w:rFonts w:ascii="Arial" w:hAnsi="Arial" w:cs="Arial"/>
      <w:b/>
      <w:noProof/>
      <w:color w:val="000000"/>
      <w:sz w:val="24"/>
      <w:szCs w:val="24"/>
      <w:lang w:val="en-ZA"/>
    </w:rPr>
  </w:style>
  <w:style w:type="paragraph" w:customStyle="1" w:styleId="ASHeader">
    <w:name w:val="AS Header"/>
    <w:basedOn w:val="Header"/>
    <w:link w:val="ASHeaderChar"/>
    <w:rsid w:val="00D25D4E"/>
    <w:pPr>
      <w:tabs>
        <w:tab w:val="clear" w:pos="4513"/>
        <w:tab w:val="clear" w:pos="9026"/>
        <w:tab w:val="left" w:pos="567"/>
        <w:tab w:val="left" w:pos="2268"/>
      </w:tabs>
      <w:jc w:val="center"/>
    </w:pPr>
    <w:rPr>
      <w:rFonts w:ascii="Arial" w:hAnsi="Arial" w:cs="Arial"/>
      <w:b/>
      <w:sz w:val="16"/>
      <w:szCs w:val="16"/>
    </w:rPr>
  </w:style>
  <w:style w:type="character" w:customStyle="1" w:styleId="ASHeaderChar">
    <w:name w:val="AS Header Char"/>
    <w:basedOn w:val="HeaderChar"/>
    <w:link w:val="ASHeader"/>
    <w:rsid w:val="00D25D4E"/>
    <w:rPr>
      <w:rFonts w:ascii="Arial" w:hAnsi="Arial" w:cs="Arial"/>
      <w:b/>
      <w:noProof/>
      <w:sz w:val="16"/>
      <w:szCs w:val="16"/>
    </w:rPr>
  </w:style>
  <w:style w:type="paragraph" w:customStyle="1" w:styleId="Default">
    <w:name w:val="Default"/>
    <w:rsid w:val="00494F9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re-Independence%20(R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1F65E-E0BA-45F2-8AD8-39EDCEFA8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Pre-Independence (RSA).dotx</Template>
  <TotalTime>47</TotalTime>
  <Pages>3</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Demonstrations in or near Court Buildings Prohibition Act 71 of 1982 (RSA)</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Demonstrations in or near Court Buildings Prohibition Act 71 of 1982 (RSA)</dc:title>
  <dc:creator>LAC</dc:creator>
  <cp:lastModifiedBy>Dianne Hubbard</cp:lastModifiedBy>
  <cp:revision>41</cp:revision>
  <dcterms:created xsi:type="dcterms:W3CDTF">2015-05-04T07:28:00Z</dcterms:created>
  <dcterms:modified xsi:type="dcterms:W3CDTF">2020-11-07T13:54:00Z</dcterms:modified>
</cp:coreProperties>
</file>