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1E9" w:rsidRPr="001A0CDE" w:rsidRDefault="00AF321A" w:rsidP="00D51089">
      <w:pPr>
        <w:pStyle w:val="REG-H1a"/>
      </w:pPr>
      <w:r w:rsidRPr="001A0CDE">
        <w:drawing>
          <wp:anchor distT="0" distB="0" distL="114300" distR="114300" simplePos="0" relativeHeight="251658240" behindDoc="0" locked="1" layoutInCell="0" allowOverlap="0">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rsidR="00EB7655" w:rsidRPr="001A0CDE" w:rsidRDefault="00D2019F" w:rsidP="00682D07">
      <w:pPr>
        <w:pStyle w:val="REG-H1d"/>
        <w:rPr>
          <w:lang w:val="en-GB"/>
        </w:rPr>
      </w:pPr>
      <w:r w:rsidRPr="001A0CDE">
        <w:rPr>
          <w:lang w:val="en-GB"/>
        </w:rPr>
        <w:t>REGULATIONS MADE IN TERMS OF</w:t>
      </w:r>
    </w:p>
    <w:p w:rsidR="00E2335D" w:rsidRPr="001A0CDE" w:rsidRDefault="00E2335D" w:rsidP="00BD2B69">
      <w:pPr>
        <w:pStyle w:val="REG-H1d"/>
        <w:rPr>
          <w:lang w:val="en-GB"/>
        </w:rPr>
      </w:pPr>
      <w:bookmarkStart w:id="0" w:name="_GoBack"/>
      <w:bookmarkEnd w:id="0"/>
    </w:p>
    <w:p w:rsidR="00E2335D" w:rsidRPr="001A0CDE" w:rsidRDefault="00F73BA9" w:rsidP="00E2335D">
      <w:pPr>
        <w:pStyle w:val="REG-H1a"/>
      </w:pPr>
      <w:r w:rsidRPr="001A0CDE">
        <w:t>Unit Trust Control Act 54 of 1981</w:t>
      </w:r>
    </w:p>
    <w:p w:rsidR="00BD2B69" w:rsidRPr="001A0CDE" w:rsidRDefault="00D924D5" w:rsidP="00BC6658">
      <w:pPr>
        <w:pStyle w:val="REG-H1b"/>
        <w:rPr>
          <w:b w:val="0"/>
        </w:rPr>
      </w:pPr>
      <w:r w:rsidRPr="001A0CDE">
        <w:rPr>
          <w:b w:val="0"/>
        </w:rPr>
        <w:t>s</w:t>
      </w:r>
      <w:r w:rsidR="00BD2B69" w:rsidRPr="001A0CDE">
        <w:rPr>
          <w:b w:val="0"/>
        </w:rPr>
        <w:t xml:space="preserve">ection </w:t>
      </w:r>
      <w:r w:rsidR="00F73BA9" w:rsidRPr="001A0CDE">
        <w:rPr>
          <w:b w:val="0"/>
        </w:rPr>
        <w:t>42</w:t>
      </w:r>
      <w:r w:rsidR="004D0CAF" w:rsidRPr="001A0CDE">
        <w:rPr>
          <w:b w:val="0"/>
        </w:rPr>
        <w:t xml:space="preserve"> read </w:t>
      </w:r>
      <w:r w:rsidR="00F73BA9" w:rsidRPr="001A0CDE">
        <w:rPr>
          <w:b w:val="0"/>
        </w:rPr>
        <w:t>with section</w:t>
      </w:r>
      <w:r w:rsidR="004D0CAF" w:rsidRPr="001A0CDE">
        <w:rPr>
          <w:b w:val="0"/>
        </w:rPr>
        <w:t>s</w:t>
      </w:r>
      <w:r w:rsidR="00F73BA9" w:rsidRPr="001A0CDE">
        <w:rPr>
          <w:b w:val="0"/>
        </w:rPr>
        <w:t xml:space="preserve"> 3(2)(b), 8, 9(1) and 20(2)(a)</w:t>
      </w:r>
    </w:p>
    <w:p w:rsidR="00E2335D" w:rsidRPr="001A0CDE" w:rsidRDefault="00E2335D" w:rsidP="00E2335D">
      <w:pPr>
        <w:pStyle w:val="REG-H1a"/>
        <w:pBdr>
          <w:bottom w:val="single" w:sz="4" w:space="1" w:color="auto"/>
        </w:pBdr>
      </w:pPr>
    </w:p>
    <w:p w:rsidR="00E2335D" w:rsidRPr="001A0CDE" w:rsidRDefault="00E2335D" w:rsidP="00E2335D">
      <w:pPr>
        <w:pStyle w:val="REG-H1a"/>
      </w:pPr>
    </w:p>
    <w:p w:rsidR="00E2335D" w:rsidRPr="001A0CDE" w:rsidRDefault="00F73BA9" w:rsidP="00E2335D">
      <w:pPr>
        <w:pStyle w:val="REG-H1b"/>
      </w:pPr>
      <w:r w:rsidRPr="001A0CDE">
        <w:t xml:space="preserve">Regulations </w:t>
      </w:r>
      <w:r w:rsidR="00B602A6" w:rsidRPr="001A0CDE">
        <w:t>r</w:t>
      </w:r>
      <w:r w:rsidRPr="001A0CDE">
        <w:t xml:space="preserve">elating to Unit Trusts Scheme </w:t>
      </w:r>
      <w:r w:rsidR="00B602A6" w:rsidRPr="001A0CDE">
        <w:br/>
      </w:r>
      <w:r w:rsidRPr="001A0CDE">
        <w:t>Capital Requirement</w:t>
      </w:r>
      <w:r w:rsidR="00103E62" w:rsidRPr="001A0CDE">
        <w:t>s</w:t>
      </w:r>
      <w:r w:rsidR="00061E20" w:rsidRPr="001A0CDE">
        <w:t xml:space="preserve"> </w:t>
      </w:r>
    </w:p>
    <w:p w:rsidR="00D2019F" w:rsidRPr="001A0CDE" w:rsidRDefault="00BD2B69" w:rsidP="00C838EC">
      <w:pPr>
        <w:pStyle w:val="REG-H1d"/>
        <w:rPr>
          <w:lang w:val="en-GB"/>
        </w:rPr>
      </w:pPr>
      <w:r w:rsidRPr="001A0CDE">
        <w:rPr>
          <w:lang w:val="en-GB"/>
        </w:rPr>
        <w:t xml:space="preserve">Government Notice </w:t>
      </w:r>
      <w:r w:rsidR="00321296" w:rsidRPr="001A0CDE">
        <w:rPr>
          <w:lang w:val="en-GB"/>
        </w:rPr>
        <w:t>256</w:t>
      </w:r>
      <w:r w:rsidR="005709A6" w:rsidRPr="001A0CDE">
        <w:rPr>
          <w:lang w:val="en-GB"/>
        </w:rPr>
        <w:t xml:space="preserve"> </w:t>
      </w:r>
      <w:r w:rsidR="005C16B3" w:rsidRPr="001A0CDE">
        <w:rPr>
          <w:lang w:val="en-GB"/>
        </w:rPr>
        <w:t>of</w:t>
      </w:r>
      <w:r w:rsidR="005709A6" w:rsidRPr="001A0CDE">
        <w:rPr>
          <w:lang w:val="en-GB"/>
        </w:rPr>
        <w:t xml:space="preserve"> </w:t>
      </w:r>
      <w:r w:rsidR="00321296" w:rsidRPr="001A0CDE">
        <w:rPr>
          <w:lang w:val="en-GB"/>
        </w:rPr>
        <w:t>2014</w:t>
      </w:r>
    </w:p>
    <w:p w:rsidR="003013D8" w:rsidRPr="001A0CDE" w:rsidRDefault="003013D8" w:rsidP="003013D8">
      <w:pPr>
        <w:pStyle w:val="REG-Amend"/>
      </w:pPr>
      <w:r w:rsidRPr="001A0CDE">
        <w:t xml:space="preserve">(GG </w:t>
      </w:r>
      <w:r w:rsidR="00F73BA9" w:rsidRPr="001A0CDE">
        <w:t>5637</w:t>
      </w:r>
      <w:r w:rsidRPr="001A0CDE">
        <w:t>)</w:t>
      </w:r>
    </w:p>
    <w:p w:rsidR="008938F7" w:rsidRPr="001A0CDE" w:rsidRDefault="003013D8" w:rsidP="00F73BA9">
      <w:pPr>
        <w:pStyle w:val="REG-Amend"/>
      </w:pPr>
      <w:r w:rsidRPr="001A0CDE">
        <w:t xml:space="preserve">came into force on </w:t>
      </w:r>
      <w:r w:rsidR="00F73BA9" w:rsidRPr="001A0CDE">
        <w:t>date of publication: 24 December 2014</w:t>
      </w:r>
      <w:r w:rsidRPr="001A0CDE">
        <w:t xml:space="preserve"> </w:t>
      </w:r>
    </w:p>
    <w:p w:rsidR="005955EA" w:rsidRPr="001A0CDE" w:rsidRDefault="005955EA" w:rsidP="0087487C">
      <w:pPr>
        <w:pStyle w:val="REG-H1a"/>
        <w:pBdr>
          <w:bottom w:val="single" w:sz="4" w:space="1" w:color="auto"/>
        </w:pBdr>
      </w:pPr>
    </w:p>
    <w:p w:rsidR="001121EE" w:rsidRPr="001A0CDE" w:rsidRDefault="001121EE" w:rsidP="0087487C">
      <w:pPr>
        <w:pStyle w:val="REG-H1a"/>
      </w:pPr>
    </w:p>
    <w:p w:rsidR="008938F7" w:rsidRPr="001A0CDE" w:rsidRDefault="008938F7" w:rsidP="00C36B55">
      <w:pPr>
        <w:pStyle w:val="REG-H2"/>
      </w:pPr>
      <w:r w:rsidRPr="001A0CDE">
        <w:t xml:space="preserve">ARRANGEMENT OF </w:t>
      </w:r>
      <w:r w:rsidR="00C11092" w:rsidRPr="001A0CDE">
        <w:t>REGULATIONS</w:t>
      </w:r>
    </w:p>
    <w:p w:rsidR="00C63501" w:rsidRPr="001A0CDE" w:rsidRDefault="00C63501" w:rsidP="00003730">
      <w:pPr>
        <w:pStyle w:val="REG-P0"/>
        <w:rPr>
          <w:color w:val="00B050"/>
        </w:rPr>
      </w:pPr>
    </w:p>
    <w:p w:rsidR="00B602A6" w:rsidRPr="001A0CDE" w:rsidRDefault="00B602A6" w:rsidP="00003730">
      <w:pPr>
        <w:pStyle w:val="REG-P0"/>
        <w:rPr>
          <w:color w:val="00B050"/>
        </w:rPr>
      </w:pPr>
      <w:r w:rsidRPr="001A0CDE">
        <w:rPr>
          <w:color w:val="00B050"/>
        </w:rPr>
        <w:t>1.</w:t>
      </w:r>
      <w:r w:rsidRPr="001A0CDE">
        <w:rPr>
          <w:color w:val="00B050"/>
        </w:rPr>
        <w:tab/>
        <w:t>Definitions</w:t>
      </w:r>
    </w:p>
    <w:p w:rsidR="00B602A6" w:rsidRPr="001A0CDE" w:rsidRDefault="00B602A6" w:rsidP="00003730">
      <w:pPr>
        <w:pStyle w:val="REG-P0"/>
        <w:rPr>
          <w:bCs/>
          <w:color w:val="00B050"/>
        </w:rPr>
      </w:pPr>
      <w:r w:rsidRPr="001A0CDE">
        <w:rPr>
          <w:color w:val="00B050"/>
        </w:rPr>
        <w:t>2.</w:t>
      </w:r>
      <w:r w:rsidRPr="001A0CDE">
        <w:rPr>
          <w:color w:val="00B050"/>
        </w:rPr>
        <w:tab/>
      </w:r>
      <w:r w:rsidRPr="001A0CDE">
        <w:rPr>
          <w:bCs/>
          <w:color w:val="00B050"/>
        </w:rPr>
        <w:t>Capital requirement relating to unit trust schemes</w:t>
      </w:r>
    </w:p>
    <w:p w:rsidR="00B602A6" w:rsidRPr="001A0CDE" w:rsidRDefault="00B602A6" w:rsidP="00003730">
      <w:pPr>
        <w:pStyle w:val="REG-P0"/>
        <w:rPr>
          <w:bCs/>
          <w:color w:val="00B050"/>
        </w:rPr>
      </w:pPr>
      <w:r w:rsidRPr="001A0CDE">
        <w:rPr>
          <w:bCs/>
          <w:color w:val="00B050"/>
        </w:rPr>
        <w:t>3.</w:t>
      </w:r>
      <w:r w:rsidRPr="001A0CDE">
        <w:rPr>
          <w:bCs/>
          <w:color w:val="00B050"/>
        </w:rPr>
        <w:tab/>
        <w:t>Management company to make investment in every unit portfolio</w:t>
      </w:r>
    </w:p>
    <w:p w:rsidR="00B602A6" w:rsidRPr="001A0CDE" w:rsidRDefault="00B602A6" w:rsidP="00003730">
      <w:pPr>
        <w:pStyle w:val="REG-P0"/>
        <w:rPr>
          <w:rFonts w:ascii="Times-Bold" w:hAnsi="Times-Bold" w:cs="Times-Bold"/>
          <w:bCs/>
          <w:color w:val="00B050"/>
        </w:rPr>
      </w:pPr>
      <w:r w:rsidRPr="001A0CDE">
        <w:rPr>
          <w:bCs/>
          <w:color w:val="00B050"/>
        </w:rPr>
        <w:t>4.</w:t>
      </w:r>
      <w:r w:rsidRPr="001A0CDE">
        <w:rPr>
          <w:bCs/>
          <w:color w:val="00B050"/>
        </w:rPr>
        <w:tab/>
      </w:r>
      <w:r w:rsidRPr="001A0CDE">
        <w:rPr>
          <w:rFonts w:ascii="Times-Bold" w:hAnsi="Times-Bold" w:cs="Times-Bold"/>
          <w:bCs/>
          <w:color w:val="00B050"/>
        </w:rPr>
        <w:t>Initial size of unit portfolio</w:t>
      </w:r>
    </w:p>
    <w:p w:rsidR="00B602A6" w:rsidRPr="001A0CDE" w:rsidRDefault="00B602A6" w:rsidP="00003730">
      <w:pPr>
        <w:pStyle w:val="REG-P0"/>
        <w:rPr>
          <w:color w:val="00B050"/>
        </w:rPr>
      </w:pPr>
      <w:r w:rsidRPr="001A0CDE">
        <w:rPr>
          <w:rFonts w:ascii="Times-Bold" w:hAnsi="Times-Bold" w:cs="Times-Bold"/>
          <w:bCs/>
          <w:color w:val="00B050"/>
        </w:rPr>
        <w:t>5.</w:t>
      </w:r>
      <w:r w:rsidRPr="001A0CDE">
        <w:rPr>
          <w:rFonts w:ascii="Times-Bold" w:hAnsi="Times-Bold" w:cs="Times-Bold"/>
          <w:bCs/>
          <w:color w:val="00B050"/>
        </w:rPr>
        <w:tab/>
        <w:t xml:space="preserve">Reporting to registrar </w:t>
      </w:r>
    </w:p>
    <w:p w:rsidR="00B602A6" w:rsidRPr="001A0CDE" w:rsidRDefault="00B602A6" w:rsidP="00B602A6">
      <w:pPr>
        <w:pStyle w:val="REG-H1a"/>
        <w:pBdr>
          <w:bottom w:val="single" w:sz="4" w:space="1" w:color="auto"/>
        </w:pBdr>
      </w:pPr>
    </w:p>
    <w:p w:rsidR="00B602A6" w:rsidRPr="001A0CDE" w:rsidRDefault="00B602A6" w:rsidP="00B602A6">
      <w:pPr>
        <w:pStyle w:val="REG-H1a"/>
      </w:pPr>
    </w:p>
    <w:p w:rsidR="00F73BA9" w:rsidRPr="001A0CDE" w:rsidRDefault="00F73BA9" w:rsidP="00F73BA9">
      <w:pPr>
        <w:pStyle w:val="REG-P0"/>
        <w:rPr>
          <w:b/>
          <w:bCs/>
        </w:rPr>
      </w:pPr>
      <w:r w:rsidRPr="001A0CDE">
        <w:rPr>
          <w:b/>
        </w:rPr>
        <w:t>Definitions</w:t>
      </w:r>
    </w:p>
    <w:p w:rsidR="00F73BA9" w:rsidRPr="001A0CDE" w:rsidRDefault="00F73BA9" w:rsidP="00F73BA9">
      <w:pPr>
        <w:pStyle w:val="REG-P0"/>
        <w:rPr>
          <w:sz w:val="26"/>
          <w:szCs w:val="26"/>
        </w:rPr>
      </w:pPr>
    </w:p>
    <w:p w:rsidR="00F73BA9" w:rsidRPr="001A0CDE" w:rsidRDefault="00F73BA9" w:rsidP="00F73BA9">
      <w:pPr>
        <w:pStyle w:val="REG-P1"/>
      </w:pPr>
      <w:r w:rsidRPr="001A0CDE">
        <w:rPr>
          <w:b/>
          <w:bCs/>
        </w:rPr>
        <w:t>1.</w:t>
      </w:r>
      <w:r w:rsidRPr="001A0CDE">
        <w:rPr>
          <w:bCs/>
        </w:rPr>
        <w:tab/>
      </w:r>
      <w:r w:rsidRPr="001A0CDE">
        <w:t>In these regulations a word or an expression to which a meaning has been assigned in the Unit Trusts Control Act, 1981 (Act No. 54 of 1981) has that meaning.</w:t>
      </w:r>
    </w:p>
    <w:p w:rsidR="00B602A6" w:rsidRPr="001A0CDE" w:rsidRDefault="00B602A6" w:rsidP="00F73BA9">
      <w:pPr>
        <w:pStyle w:val="REG-P0"/>
        <w:rPr>
          <w:rFonts w:ascii="Times-Bold" w:hAnsi="Times-Bold" w:cs="Times-Bold"/>
          <w:b/>
          <w:bCs/>
        </w:rPr>
      </w:pPr>
    </w:p>
    <w:p w:rsidR="00B602A6" w:rsidRPr="001A0CDE" w:rsidRDefault="00B602A6" w:rsidP="00F73BA9">
      <w:pPr>
        <w:pStyle w:val="REG-P0"/>
        <w:rPr>
          <w:rFonts w:ascii="Times-Bold" w:hAnsi="Times-Bold" w:cs="Times-Bold"/>
          <w:b/>
          <w:bCs/>
        </w:rPr>
      </w:pPr>
      <w:r w:rsidRPr="001A0CDE">
        <w:rPr>
          <w:rFonts w:ascii="Times-Bold" w:hAnsi="Times-Bold" w:cs="Times-Bold"/>
          <w:b/>
          <w:bCs/>
        </w:rPr>
        <w:t>Capital requirement relating to unit trust schemes</w:t>
      </w:r>
    </w:p>
    <w:p w:rsidR="00B602A6" w:rsidRPr="001A0CDE" w:rsidRDefault="00B602A6" w:rsidP="00F73BA9">
      <w:pPr>
        <w:pStyle w:val="REG-P0"/>
        <w:rPr>
          <w:sz w:val="26"/>
          <w:szCs w:val="26"/>
        </w:rPr>
      </w:pPr>
    </w:p>
    <w:p w:rsidR="00F73BA9" w:rsidRPr="001A0CDE" w:rsidRDefault="00F73BA9" w:rsidP="00F73BA9">
      <w:pPr>
        <w:pStyle w:val="REG-P1"/>
      </w:pPr>
      <w:r w:rsidRPr="001A0CDE">
        <w:rPr>
          <w:b/>
          <w:bCs/>
        </w:rPr>
        <w:t>2.</w:t>
      </w:r>
      <w:r w:rsidRPr="001A0CDE">
        <w:rPr>
          <w:bCs/>
        </w:rPr>
        <w:tab/>
      </w:r>
      <w:r w:rsidRPr="001A0CDE">
        <w:t>(1)</w:t>
      </w:r>
      <w:r w:rsidRPr="001A0CDE">
        <w:tab/>
        <w:t>A company registered as a management company under section 4 of the Act must have and must maintain a share capital, paid-up share capital and non-distributable reserves which together amount to an amount not less than N$2</w:t>
      </w:r>
      <w:r w:rsidR="00807FB3" w:rsidRPr="001A0CDE">
        <w:t> </w:t>
      </w:r>
      <w:r w:rsidRPr="001A0CDE">
        <w:t>400 000 actually employed or immediately available for employment in its unit trust business.</w:t>
      </w:r>
    </w:p>
    <w:p w:rsidR="00F73BA9" w:rsidRPr="001A0CDE" w:rsidRDefault="00F73BA9" w:rsidP="00F73BA9">
      <w:pPr>
        <w:pStyle w:val="REG-P0"/>
        <w:rPr>
          <w:sz w:val="26"/>
          <w:szCs w:val="26"/>
        </w:rPr>
      </w:pPr>
    </w:p>
    <w:p w:rsidR="00F73BA9" w:rsidRPr="001A0CDE" w:rsidRDefault="00F73BA9" w:rsidP="00F73BA9">
      <w:pPr>
        <w:pStyle w:val="REG-P1"/>
      </w:pPr>
      <w:r w:rsidRPr="001A0CDE">
        <w:lastRenderedPageBreak/>
        <w:t>(2)</w:t>
      </w:r>
      <w:r w:rsidRPr="001A0CDE">
        <w:tab/>
        <w:t>A company or an institution, referred to in section 20(1) of the Act, that intends to become or act as a trustee under a unit trust scheme must maintain a paid-up capital and unimpaired reserves which together amount to an amount not less than N$1</w:t>
      </w:r>
      <w:r w:rsidR="00807FB3" w:rsidRPr="001A0CDE">
        <w:t> </w:t>
      </w:r>
      <w:r w:rsidRPr="001A0CDE">
        <w:t>250</w:t>
      </w:r>
      <w:r w:rsidR="00807FB3" w:rsidRPr="001A0CDE">
        <w:t> </w:t>
      </w:r>
      <w:r w:rsidRPr="001A0CDE">
        <w:t>000.</w:t>
      </w:r>
    </w:p>
    <w:p w:rsidR="00F73BA9" w:rsidRPr="001A0CDE" w:rsidRDefault="00F73BA9" w:rsidP="00F73BA9">
      <w:pPr>
        <w:pStyle w:val="REG-P0"/>
        <w:rPr>
          <w:sz w:val="26"/>
          <w:szCs w:val="26"/>
        </w:rPr>
      </w:pPr>
    </w:p>
    <w:p w:rsidR="00F73BA9" w:rsidRPr="001A0CDE" w:rsidRDefault="00F73BA9" w:rsidP="00F73BA9">
      <w:pPr>
        <w:pStyle w:val="REG-P1"/>
      </w:pPr>
      <w:r w:rsidRPr="001A0CDE">
        <w:t>(3)</w:t>
      </w:r>
      <w:r w:rsidRPr="001A0CDE">
        <w:tab/>
        <w:t>Th</w:t>
      </w:r>
      <w:r w:rsidR="00321296" w:rsidRPr="001A0CDE">
        <w:t xml:space="preserve">e paid-up capital and reserves, </w:t>
      </w:r>
      <w:r w:rsidRPr="001A0CDE">
        <w:t>referred to in subregulation (1) and (2), which must be included in the amounts prescribed under those subregulations are -</w:t>
      </w:r>
    </w:p>
    <w:p w:rsidR="00F73BA9" w:rsidRPr="001A0CDE" w:rsidRDefault="00F73BA9" w:rsidP="00F73BA9">
      <w:pPr>
        <w:pStyle w:val="REG-P0"/>
        <w:rPr>
          <w:sz w:val="26"/>
          <w:szCs w:val="26"/>
        </w:rPr>
      </w:pPr>
    </w:p>
    <w:p w:rsidR="00F73BA9" w:rsidRPr="001A0CDE" w:rsidRDefault="00F73BA9" w:rsidP="00F73BA9">
      <w:pPr>
        <w:pStyle w:val="REG-Pa"/>
      </w:pPr>
      <w:r w:rsidRPr="001A0CDE">
        <w:t>(a)</w:t>
      </w:r>
      <w:r w:rsidRPr="001A0CDE">
        <w:tab/>
        <w:t>permanent shareholder’s equity, including issued and fully paid-up ordinary shares and perpetual non-cumulative preference shares;</w:t>
      </w:r>
    </w:p>
    <w:p w:rsidR="00F73BA9" w:rsidRPr="001A0CDE" w:rsidRDefault="00F73BA9" w:rsidP="00F73BA9">
      <w:pPr>
        <w:pStyle w:val="REG-P0"/>
        <w:rPr>
          <w:sz w:val="26"/>
          <w:szCs w:val="26"/>
        </w:rPr>
      </w:pPr>
    </w:p>
    <w:p w:rsidR="00F73BA9" w:rsidRPr="001A0CDE" w:rsidRDefault="00F73BA9" w:rsidP="00F73BA9">
      <w:pPr>
        <w:pStyle w:val="REG-Pa"/>
      </w:pPr>
      <w:r w:rsidRPr="001A0CDE">
        <w:t>(b)</w:t>
      </w:r>
      <w:r w:rsidRPr="001A0CDE">
        <w:tab/>
        <w:t>disclosed reserves, being share premium and retained earnings; and</w:t>
      </w:r>
    </w:p>
    <w:p w:rsidR="00F73BA9" w:rsidRPr="001A0CDE" w:rsidRDefault="00F73BA9" w:rsidP="00F73BA9">
      <w:pPr>
        <w:pStyle w:val="REG-P0"/>
        <w:rPr>
          <w:sz w:val="26"/>
          <w:szCs w:val="26"/>
        </w:rPr>
      </w:pPr>
    </w:p>
    <w:p w:rsidR="00F73BA9" w:rsidRPr="001A0CDE" w:rsidRDefault="00F73BA9" w:rsidP="00F73BA9">
      <w:pPr>
        <w:pStyle w:val="REG-Pa"/>
      </w:pPr>
      <w:r w:rsidRPr="001A0CDE">
        <w:t>(c)</w:t>
      </w:r>
      <w:r w:rsidRPr="001A0CDE">
        <w:tab/>
        <w:t>adjustment for impairment of capital consists of -</w:t>
      </w:r>
    </w:p>
    <w:p w:rsidR="00F73BA9" w:rsidRPr="001A0CDE" w:rsidRDefault="00F73BA9" w:rsidP="00F73BA9">
      <w:pPr>
        <w:pStyle w:val="REG-P0"/>
        <w:rPr>
          <w:sz w:val="26"/>
          <w:szCs w:val="26"/>
        </w:rPr>
      </w:pPr>
    </w:p>
    <w:p w:rsidR="00F73BA9" w:rsidRPr="001A0CDE" w:rsidRDefault="00F73BA9" w:rsidP="00F73BA9">
      <w:pPr>
        <w:pStyle w:val="REG-Pi"/>
      </w:pPr>
      <w:r w:rsidRPr="001A0CDE">
        <w:t>(i)</w:t>
      </w:r>
      <w:r w:rsidRPr="001A0CDE">
        <w:tab/>
        <w:t>intangible assets;</w:t>
      </w:r>
    </w:p>
    <w:p w:rsidR="00F73BA9" w:rsidRPr="001A0CDE" w:rsidRDefault="00F73BA9" w:rsidP="00F73BA9">
      <w:pPr>
        <w:pStyle w:val="REG-P0"/>
        <w:rPr>
          <w:sz w:val="26"/>
          <w:szCs w:val="26"/>
        </w:rPr>
      </w:pPr>
    </w:p>
    <w:p w:rsidR="00F73BA9" w:rsidRPr="001A0CDE" w:rsidRDefault="00F73BA9" w:rsidP="00F73BA9">
      <w:pPr>
        <w:pStyle w:val="REG-Pi"/>
      </w:pPr>
      <w:r w:rsidRPr="001A0CDE">
        <w:t>(ii)</w:t>
      </w:r>
      <w:r w:rsidRPr="001A0CDE">
        <w:tab/>
        <w:t>contingent liabilities; and</w:t>
      </w:r>
    </w:p>
    <w:p w:rsidR="00F73BA9" w:rsidRPr="001A0CDE" w:rsidRDefault="00F73BA9" w:rsidP="00F73BA9">
      <w:pPr>
        <w:pStyle w:val="REG-P0"/>
        <w:rPr>
          <w:sz w:val="26"/>
          <w:szCs w:val="26"/>
        </w:rPr>
      </w:pPr>
    </w:p>
    <w:p w:rsidR="00F73BA9" w:rsidRPr="001A0CDE" w:rsidRDefault="00F73BA9" w:rsidP="00F73BA9">
      <w:pPr>
        <w:pStyle w:val="REG-Pi"/>
      </w:pPr>
      <w:r w:rsidRPr="001A0CDE">
        <w:t>(iii)</w:t>
      </w:r>
      <w:r w:rsidRPr="001A0CDE">
        <w:tab/>
        <w:t>guarantee provided by a management company.</w:t>
      </w:r>
    </w:p>
    <w:p w:rsidR="00F73BA9" w:rsidRPr="001A0CDE" w:rsidRDefault="00F73BA9" w:rsidP="00F73BA9">
      <w:pPr>
        <w:pStyle w:val="REG-P0"/>
        <w:rPr>
          <w:sz w:val="26"/>
          <w:szCs w:val="26"/>
        </w:rPr>
      </w:pPr>
    </w:p>
    <w:p w:rsidR="00F73BA9" w:rsidRPr="001A0CDE" w:rsidRDefault="00F73BA9" w:rsidP="00F73BA9">
      <w:pPr>
        <w:pStyle w:val="REG-P0"/>
        <w:rPr>
          <w:b/>
          <w:bCs/>
        </w:rPr>
      </w:pPr>
      <w:r w:rsidRPr="001A0CDE">
        <w:rPr>
          <w:b/>
        </w:rPr>
        <w:t>Management company to make investment in every unit portfolio</w:t>
      </w:r>
    </w:p>
    <w:p w:rsidR="00F73BA9" w:rsidRPr="001A0CDE" w:rsidRDefault="00F73BA9" w:rsidP="00F73BA9">
      <w:pPr>
        <w:pStyle w:val="REG-P0"/>
        <w:rPr>
          <w:b/>
          <w:sz w:val="26"/>
          <w:szCs w:val="26"/>
        </w:rPr>
      </w:pPr>
    </w:p>
    <w:p w:rsidR="00F73BA9" w:rsidRPr="001A0CDE" w:rsidRDefault="00F73BA9" w:rsidP="00F73BA9">
      <w:pPr>
        <w:pStyle w:val="REG-P1"/>
      </w:pPr>
      <w:r w:rsidRPr="001A0CDE">
        <w:rPr>
          <w:b/>
          <w:bCs/>
        </w:rPr>
        <w:t>3.</w:t>
      </w:r>
      <w:r w:rsidRPr="001A0CDE">
        <w:rPr>
          <w:bCs/>
        </w:rPr>
        <w:tab/>
      </w:r>
      <w:r w:rsidRPr="001A0CDE">
        <w:t>For the purposes of section 9(1) of the Act, a management company must of its own resources, have at all times -</w:t>
      </w:r>
    </w:p>
    <w:p w:rsidR="00F73BA9" w:rsidRPr="001A0CDE" w:rsidRDefault="00F73BA9" w:rsidP="00F73BA9">
      <w:pPr>
        <w:pStyle w:val="REG-P0"/>
        <w:rPr>
          <w:sz w:val="26"/>
          <w:szCs w:val="26"/>
        </w:rPr>
      </w:pPr>
    </w:p>
    <w:p w:rsidR="00F73BA9" w:rsidRPr="001A0CDE" w:rsidRDefault="00F73BA9" w:rsidP="00F73BA9">
      <w:pPr>
        <w:pStyle w:val="REG-Pa"/>
      </w:pPr>
      <w:r w:rsidRPr="001A0CDE">
        <w:t>(a)</w:t>
      </w:r>
      <w:r w:rsidRPr="001A0CDE">
        <w:tab/>
        <w:t>invested in every unit portfolio 10 percent of the market value of the unit portfolio; or</w:t>
      </w:r>
    </w:p>
    <w:p w:rsidR="00F73BA9" w:rsidRPr="001A0CDE" w:rsidRDefault="00F73BA9" w:rsidP="00F73BA9">
      <w:pPr>
        <w:pStyle w:val="REG-P0"/>
        <w:rPr>
          <w:sz w:val="26"/>
          <w:szCs w:val="26"/>
        </w:rPr>
      </w:pPr>
    </w:p>
    <w:p w:rsidR="00F73BA9" w:rsidRPr="001A0CDE" w:rsidRDefault="00F73BA9" w:rsidP="00F73BA9">
      <w:pPr>
        <w:pStyle w:val="REG-Pa"/>
      </w:pPr>
      <w:r w:rsidRPr="001A0CDE">
        <w:t>(b)</w:t>
      </w:r>
      <w:r w:rsidRPr="001A0CDE">
        <w:tab/>
        <w:t>invested in every unit portfolio N$1</w:t>
      </w:r>
      <w:r w:rsidR="00807FB3" w:rsidRPr="001A0CDE">
        <w:t> </w:t>
      </w:r>
      <w:r w:rsidRPr="001A0CDE">
        <w:t>000</w:t>
      </w:r>
      <w:r w:rsidR="00807FB3" w:rsidRPr="001A0CDE">
        <w:t> </w:t>
      </w:r>
      <w:r w:rsidRPr="001A0CDE">
        <w:t>000.</w:t>
      </w:r>
    </w:p>
    <w:p w:rsidR="00F73BA9" w:rsidRPr="001A0CDE" w:rsidRDefault="00F73BA9" w:rsidP="00F73BA9">
      <w:pPr>
        <w:pStyle w:val="REG-P0"/>
        <w:rPr>
          <w:sz w:val="26"/>
          <w:szCs w:val="26"/>
        </w:rPr>
      </w:pPr>
    </w:p>
    <w:p w:rsidR="00F73BA9" w:rsidRPr="001A0CDE" w:rsidRDefault="00F73BA9" w:rsidP="00F73BA9">
      <w:pPr>
        <w:pStyle w:val="REG-P0"/>
        <w:rPr>
          <w:b/>
          <w:bCs/>
        </w:rPr>
      </w:pPr>
      <w:r w:rsidRPr="001A0CDE">
        <w:rPr>
          <w:b/>
        </w:rPr>
        <w:t>Initial size of unit portfolio</w:t>
      </w:r>
    </w:p>
    <w:p w:rsidR="00F73BA9" w:rsidRPr="001A0CDE" w:rsidRDefault="00F73BA9" w:rsidP="00F73BA9">
      <w:pPr>
        <w:pStyle w:val="REG-P0"/>
        <w:rPr>
          <w:sz w:val="26"/>
          <w:szCs w:val="26"/>
        </w:rPr>
      </w:pPr>
    </w:p>
    <w:p w:rsidR="00F73BA9" w:rsidRPr="001A0CDE" w:rsidRDefault="00F73BA9" w:rsidP="00F73BA9">
      <w:pPr>
        <w:pStyle w:val="REG-P1"/>
      </w:pPr>
      <w:r w:rsidRPr="001A0CDE">
        <w:rPr>
          <w:b/>
          <w:bCs/>
        </w:rPr>
        <w:t>4.</w:t>
      </w:r>
      <w:r w:rsidRPr="001A0CDE">
        <w:rPr>
          <w:bCs/>
        </w:rPr>
        <w:tab/>
      </w:r>
      <w:r w:rsidRPr="001A0CDE">
        <w:t>For the purposes of section 8 of the Act, a unit trust portfolio formed pursuant to a unit trust scheme which contemplates the creation of unlimited number of units in such portfolio must comprise, as at the date on which the management company commences the selling of units to the public, an underlying securities to the market value of at least N$500</w:t>
      </w:r>
      <w:r w:rsidR="00807FB3" w:rsidRPr="001A0CDE">
        <w:t> </w:t>
      </w:r>
      <w:r w:rsidRPr="001A0CDE">
        <w:t>000.</w:t>
      </w:r>
    </w:p>
    <w:p w:rsidR="00F73BA9" w:rsidRPr="001A0CDE" w:rsidRDefault="00F73BA9" w:rsidP="00F73BA9">
      <w:pPr>
        <w:pStyle w:val="REG-P0"/>
        <w:rPr>
          <w:sz w:val="26"/>
          <w:szCs w:val="26"/>
        </w:rPr>
      </w:pPr>
    </w:p>
    <w:p w:rsidR="00F73BA9" w:rsidRPr="001A0CDE" w:rsidRDefault="00F73BA9" w:rsidP="00F73BA9">
      <w:pPr>
        <w:pStyle w:val="REG-P0"/>
        <w:rPr>
          <w:b/>
          <w:bCs/>
        </w:rPr>
      </w:pPr>
      <w:r w:rsidRPr="001A0CDE">
        <w:rPr>
          <w:b/>
        </w:rPr>
        <w:t>Reporting to registrar</w:t>
      </w:r>
    </w:p>
    <w:p w:rsidR="00F73BA9" w:rsidRPr="001A0CDE" w:rsidRDefault="00F73BA9" w:rsidP="00F73BA9">
      <w:pPr>
        <w:pStyle w:val="REG-P0"/>
        <w:rPr>
          <w:sz w:val="26"/>
          <w:szCs w:val="26"/>
        </w:rPr>
      </w:pPr>
    </w:p>
    <w:p w:rsidR="00F73BA9" w:rsidRPr="001A0CDE" w:rsidRDefault="00F73BA9" w:rsidP="00F73BA9">
      <w:pPr>
        <w:pStyle w:val="REG-P1"/>
      </w:pPr>
      <w:r w:rsidRPr="001A0CDE">
        <w:rPr>
          <w:b/>
          <w:bCs/>
        </w:rPr>
        <w:t>5.</w:t>
      </w:r>
      <w:r w:rsidRPr="001A0CDE">
        <w:rPr>
          <w:bCs/>
        </w:rPr>
        <w:tab/>
      </w:r>
      <w:r w:rsidRPr="001A0CDE">
        <w:t>The calculation of the capital position of a management company or trustee as contemplated in regulation 2(1) or (2) must be submitted to the registrar within 30 days after the end of 31 March, 30 June, 30 September and 31 December each year, in the form and manner determined by the registrar.</w:t>
      </w:r>
    </w:p>
    <w:p w:rsidR="007C4355" w:rsidRPr="001A0CDE" w:rsidRDefault="007C4355" w:rsidP="00B12C91">
      <w:pPr>
        <w:pStyle w:val="REG-P0"/>
      </w:pPr>
    </w:p>
    <w:sectPr w:rsidR="007C4355" w:rsidRPr="001A0CDE" w:rsidSect="00CE101E">
      <w:headerReference w:type="default" r:id="rId9"/>
      <w:headerReference w:type="first" r:id="rId10"/>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8D5" w:rsidRDefault="00B548D5">
      <w:r>
        <w:separator/>
      </w:r>
    </w:p>
  </w:endnote>
  <w:endnote w:type="continuationSeparator" w:id="0">
    <w:p w:rsidR="00B548D5" w:rsidRDefault="00B54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imes-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8D5" w:rsidRDefault="00B548D5">
      <w:r>
        <w:separator/>
      </w:r>
    </w:p>
  </w:footnote>
  <w:footnote w:type="continuationSeparator" w:id="0">
    <w:p w:rsidR="00B548D5" w:rsidRDefault="00B548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E62" w:rsidRPr="00982FA4" w:rsidRDefault="00B548D5" w:rsidP="00FC33A9">
    <w:pPr>
      <w:spacing w:after="120"/>
      <w:jc w:val="center"/>
      <w:rPr>
        <w:rFonts w:ascii="Arial" w:hAnsi="Arial" w:cs="Arial"/>
        <w:color w:val="000000"/>
        <w:sz w:val="16"/>
        <w:szCs w:val="16"/>
      </w:rPr>
    </w:pPr>
    <w:r>
      <w:rPr>
        <w:rFonts w:ascii="Arial" w:hAnsi="Arial" w:cs="Arial"/>
        <w:color w:val="000000"/>
        <w:sz w:val="12"/>
        <w:szCs w:val="16"/>
      </w:rPr>
      <w:pict>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103E62" w:rsidRPr="00982FA4">
      <w:rPr>
        <w:rFonts w:ascii="Arial" w:hAnsi="Arial" w:cs="Arial"/>
        <w:color w:val="000000"/>
        <w:sz w:val="12"/>
        <w:szCs w:val="16"/>
      </w:rPr>
      <w:t>Republic of Namibia</w:t>
    </w:r>
    <w:r w:rsidR="00103E62" w:rsidRPr="00982FA4">
      <w:rPr>
        <w:rFonts w:ascii="Arial" w:hAnsi="Arial" w:cs="Arial"/>
        <w:color w:val="000000"/>
        <w:w w:val="600"/>
        <w:sz w:val="12"/>
        <w:szCs w:val="16"/>
      </w:rPr>
      <w:t xml:space="preserve"> </w:t>
    </w:r>
    <w:r w:rsidR="00103E62" w:rsidRPr="00982FA4">
      <w:rPr>
        <w:rFonts w:ascii="Arial" w:hAnsi="Arial" w:cs="Arial"/>
        <w:b/>
        <w:noProof w:val="0"/>
        <w:color w:val="000000"/>
        <w:sz w:val="16"/>
        <w:szCs w:val="16"/>
      </w:rPr>
      <w:fldChar w:fldCharType="begin"/>
    </w:r>
    <w:r w:rsidR="00103E62" w:rsidRPr="00982FA4">
      <w:rPr>
        <w:rFonts w:ascii="Arial" w:hAnsi="Arial" w:cs="Arial"/>
        <w:b/>
        <w:color w:val="000000"/>
        <w:sz w:val="16"/>
        <w:szCs w:val="16"/>
      </w:rPr>
      <w:instrText xml:space="preserve"> PAGE   \* MERGEFORMAT </w:instrText>
    </w:r>
    <w:r w:rsidR="00103E62" w:rsidRPr="00982FA4">
      <w:rPr>
        <w:rFonts w:ascii="Arial" w:hAnsi="Arial" w:cs="Arial"/>
        <w:b/>
        <w:noProof w:val="0"/>
        <w:color w:val="000000"/>
        <w:sz w:val="16"/>
        <w:szCs w:val="16"/>
      </w:rPr>
      <w:fldChar w:fldCharType="separate"/>
    </w:r>
    <w:r w:rsidR="00761D9C">
      <w:rPr>
        <w:rFonts w:ascii="Arial" w:hAnsi="Arial" w:cs="Arial"/>
        <w:b/>
        <w:color w:val="000000"/>
        <w:sz w:val="16"/>
        <w:szCs w:val="16"/>
      </w:rPr>
      <w:t>2</w:t>
    </w:r>
    <w:r w:rsidR="00103E62" w:rsidRPr="00982FA4">
      <w:rPr>
        <w:rFonts w:ascii="Arial" w:hAnsi="Arial" w:cs="Arial"/>
        <w:b/>
        <w:color w:val="000000"/>
        <w:sz w:val="16"/>
        <w:szCs w:val="16"/>
      </w:rPr>
      <w:fldChar w:fldCharType="end"/>
    </w:r>
    <w:r w:rsidR="00103E62" w:rsidRPr="00982FA4">
      <w:rPr>
        <w:rFonts w:ascii="Arial" w:hAnsi="Arial" w:cs="Arial"/>
        <w:color w:val="000000"/>
        <w:w w:val="600"/>
        <w:sz w:val="12"/>
        <w:szCs w:val="16"/>
      </w:rPr>
      <w:t xml:space="preserve"> </w:t>
    </w:r>
    <w:r w:rsidR="00103E62" w:rsidRPr="00982FA4">
      <w:rPr>
        <w:rFonts w:ascii="Arial" w:hAnsi="Arial" w:cs="Arial"/>
        <w:color w:val="000000"/>
        <w:sz w:val="12"/>
        <w:szCs w:val="16"/>
      </w:rPr>
      <w:t>Annotated Statutes</w:t>
    </w:r>
    <w:r w:rsidR="00103E62" w:rsidRPr="00982FA4">
      <w:rPr>
        <w:rFonts w:ascii="Arial" w:hAnsi="Arial" w:cs="Arial"/>
        <w:b/>
        <w:color w:val="000000"/>
        <w:sz w:val="16"/>
        <w:szCs w:val="16"/>
      </w:rPr>
      <w:t xml:space="preserve"> </w:t>
    </w:r>
  </w:p>
  <w:p w:rsidR="00103E62" w:rsidRPr="00982FA4" w:rsidRDefault="00103E62" w:rsidP="00F25922">
    <w:pPr>
      <w:pStyle w:val="REG-PHA"/>
      <w:rPr>
        <w:color w:val="000000"/>
      </w:rPr>
    </w:pPr>
    <w:r w:rsidRPr="00982FA4">
      <w:rPr>
        <w:color w:val="000000"/>
      </w:rPr>
      <w:t>REGULATIONS</w:t>
    </w:r>
  </w:p>
  <w:p w:rsidR="00103E62" w:rsidRPr="00982FA4" w:rsidRDefault="006B6A5C" w:rsidP="00982FA4">
    <w:pPr>
      <w:pStyle w:val="REG-PHb"/>
      <w:spacing w:after="120"/>
      <w:rPr>
        <w:color w:val="000000"/>
      </w:rPr>
    </w:pPr>
    <w:r w:rsidRPr="00982FA4">
      <w:rPr>
        <w:color w:val="000000"/>
      </w:rPr>
      <w:t>Unit Trusts Control Act 54 of 1981</w:t>
    </w:r>
  </w:p>
  <w:p w:rsidR="00103E62" w:rsidRPr="00982FA4" w:rsidRDefault="00B602A6" w:rsidP="00F25922">
    <w:pPr>
      <w:pStyle w:val="REG-PHb"/>
      <w:rPr>
        <w:color w:val="000000"/>
      </w:rPr>
    </w:pPr>
    <w:r w:rsidRPr="00982FA4">
      <w:rPr>
        <w:color w:val="000000"/>
      </w:rPr>
      <w:t>Regulations r</w:t>
    </w:r>
    <w:r w:rsidR="006B6A5C" w:rsidRPr="00982FA4">
      <w:rPr>
        <w:color w:val="000000"/>
      </w:rPr>
      <w:t>elating to Unit Trusts Scheme Capital Requirements</w:t>
    </w:r>
  </w:p>
  <w:p w:rsidR="00103E62" w:rsidRPr="00982FA4" w:rsidRDefault="00103E62" w:rsidP="00F25922">
    <w:pPr>
      <w:pStyle w:val="REG-P0"/>
      <w:pBdr>
        <w:bottom w:val="single" w:sz="24" w:space="1" w:color="BFBFBF" w:themeColor="accent5" w:themeTint="66"/>
      </w:pBdr>
      <w:rPr>
        <w:strike/>
        <w:color w:val="000000"/>
        <w:sz w:val="12"/>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E62" w:rsidRPr="00BA6B35" w:rsidRDefault="00B548D5" w:rsidP="00CE101E">
    <w:pPr>
      <w:rPr>
        <w:sz w:val="8"/>
        <w:szCs w:val="16"/>
      </w:rPr>
    </w:pPr>
    <w:r>
      <w:rPr>
        <w:sz w:val="8"/>
        <w:szCs w:val="16"/>
      </w:rPr>
      <w:pict>
        <v:group id="_x0000_s2055"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6"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7"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103E62"/>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C6026"/>
    <w:rsid w:val="000D3B3A"/>
    <w:rsid w:val="000D61EB"/>
    <w:rsid w:val="000E21FC"/>
    <w:rsid w:val="000E427F"/>
    <w:rsid w:val="000E5C90"/>
    <w:rsid w:val="000F1E72"/>
    <w:rsid w:val="000F260D"/>
    <w:rsid w:val="000F4429"/>
    <w:rsid w:val="000F7993"/>
    <w:rsid w:val="00103E62"/>
    <w:rsid w:val="0010747B"/>
    <w:rsid w:val="001121EE"/>
    <w:rsid w:val="001128C3"/>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542E"/>
    <w:rsid w:val="001761C1"/>
    <w:rsid w:val="00181A7A"/>
    <w:rsid w:val="00186652"/>
    <w:rsid w:val="001A0CDE"/>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4D34"/>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F4347"/>
    <w:rsid w:val="003013D8"/>
    <w:rsid w:val="00303D74"/>
    <w:rsid w:val="00304858"/>
    <w:rsid w:val="00312523"/>
    <w:rsid w:val="00321296"/>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1E6"/>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0CAF"/>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2605"/>
    <w:rsid w:val="0055440A"/>
    <w:rsid w:val="00557EBC"/>
    <w:rsid w:val="00560457"/>
    <w:rsid w:val="0056066A"/>
    <w:rsid w:val="00563108"/>
    <w:rsid w:val="005646F3"/>
    <w:rsid w:val="005709A6"/>
    <w:rsid w:val="00570D44"/>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6A5C"/>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1D9C"/>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07FB3"/>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2FA4"/>
    <w:rsid w:val="009830C2"/>
    <w:rsid w:val="0099219B"/>
    <w:rsid w:val="00992BA2"/>
    <w:rsid w:val="00993997"/>
    <w:rsid w:val="009963D4"/>
    <w:rsid w:val="009968F2"/>
    <w:rsid w:val="009A393E"/>
    <w:rsid w:val="009A73DE"/>
    <w:rsid w:val="009B0E42"/>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48D5"/>
    <w:rsid w:val="00B55602"/>
    <w:rsid w:val="00B602A6"/>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1513"/>
    <w:rsid w:val="00D721E9"/>
    <w:rsid w:val="00D75950"/>
    <w:rsid w:val="00D760CE"/>
    <w:rsid w:val="00D838A0"/>
    <w:rsid w:val="00D924D5"/>
    <w:rsid w:val="00D94444"/>
    <w:rsid w:val="00D9603B"/>
    <w:rsid w:val="00DA3240"/>
    <w:rsid w:val="00DA5C40"/>
    <w:rsid w:val="00DA63BE"/>
    <w:rsid w:val="00DB4BA9"/>
    <w:rsid w:val="00DB60E4"/>
    <w:rsid w:val="00DC2728"/>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73BA9"/>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5:docId w15:val="{7AE64FD0-A410-4572-BB0C-5DF9193A8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D71513"/>
    <w:pPr>
      <w:spacing w:after="0" w:line="240" w:lineRule="auto"/>
    </w:pPr>
    <w:rPr>
      <w:rFonts w:ascii="Times New Roman" w:hAnsi="Times New Roman"/>
      <w:noProof/>
    </w:rPr>
  </w:style>
  <w:style w:type="paragraph" w:styleId="Heading1">
    <w:name w:val="heading 1"/>
    <w:basedOn w:val="Normal"/>
    <w:link w:val="Heading1Char"/>
    <w:uiPriority w:val="9"/>
    <w:rsid w:val="00D71513"/>
    <w:pPr>
      <w:ind w:left="871"/>
      <w:outlineLvl w:val="0"/>
    </w:pPr>
    <w:rPr>
      <w:rFonts w:eastAsia="Times New Roman"/>
      <w:b/>
      <w:bCs/>
    </w:rPr>
  </w:style>
  <w:style w:type="character" w:default="1" w:styleId="DefaultParagraphFont">
    <w:name w:val="Default Paragraph Font"/>
    <w:uiPriority w:val="1"/>
    <w:semiHidden/>
    <w:unhideWhenUsed/>
    <w:rsid w:val="00D7151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71513"/>
  </w:style>
  <w:style w:type="paragraph" w:styleId="Footer">
    <w:name w:val="footer"/>
    <w:basedOn w:val="Normal"/>
    <w:link w:val="FooterChar"/>
    <w:uiPriority w:val="99"/>
    <w:unhideWhenUsed/>
    <w:rsid w:val="00D71513"/>
    <w:pPr>
      <w:tabs>
        <w:tab w:val="center" w:pos="4513"/>
        <w:tab w:val="right" w:pos="9026"/>
      </w:tabs>
    </w:pPr>
  </w:style>
  <w:style w:type="character" w:customStyle="1" w:styleId="FooterChar">
    <w:name w:val="Footer Char"/>
    <w:basedOn w:val="DefaultParagraphFont"/>
    <w:link w:val="Footer"/>
    <w:uiPriority w:val="99"/>
    <w:rsid w:val="00D71513"/>
    <w:rPr>
      <w:rFonts w:ascii="Times New Roman" w:hAnsi="Times New Roman"/>
      <w:noProof/>
    </w:rPr>
  </w:style>
  <w:style w:type="paragraph" w:styleId="Header">
    <w:name w:val="header"/>
    <w:basedOn w:val="Normal"/>
    <w:link w:val="HeaderChar"/>
    <w:uiPriority w:val="99"/>
    <w:unhideWhenUsed/>
    <w:rsid w:val="00D71513"/>
    <w:pPr>
      <w:tabs>
        <w:tab w:val="center" w:pos="4513"/>
        <w:tab w:val="right" w:pos="9026"/>
      </w:tabs>
    </w:pPr>
  </w:style>
  <w:style w:type="character" w:customStyle="1" w:styleId="HeaderChar">
    <w:name w:val="Header Char"/>
    <w:basedOn w:val="DefaultParagraphFont"/>
    <w:link w:val="Header"/>
    <w:uiPriority w:val="99"/>
    <w:rsid w:val="00D71513"/>
    <w:rPr>
      <w:rFonts w:ascii="Times New Roman" w:hAnsi="Times New Roman"/>
      <w:noProof/>
    </w:rPr>
  </w:style>
  <w:style w:type="paragraph" w:styleId="BalloonText">
    <w:name w:val="Balloon Text"/>
    <w:basedOn w:val="Normal"/>
    <w:link w:val="BalloonTextChar"/>
    <w:uiPriority w:val="99"/>
    <w:semiHidden/>
    <w:unhideWhenUsed/>
    <w:rsid w:val="00D71513"/>
    <w:rPr>
      <w:rFonts w:ascii="Tahoma" w:hAnsi="Tahoma" w:cs="Tahoma"/>
      <w:sz w:val="16"/>
      <w:szCs w:val="16"/>
    </w:rPr>
  </w:style>
  <w:style w:type="character" w:customStyle="1" w:styleId="BalloonTextChar">
    <w:name w:val="Balloon Text Char"/>
    <w:basedOn w:val="DefaultParagraphFont"/>
    <w:link w:val="BalloonText"/>
    <w:uiPriority w:val="99"/>
    <w:semiHidden/>
    <w:rsid w:val="00D71513"/>
    <w:rPr>
      <w:rFonts w:ascii="Tahoma" w:hAnsi="Tahoma" w:cs="Tahoma"/>
      <w:noProof/>
      <w:sz w:val="16"/>
      <w:szCs w:val="16"/>
    </w:rPr>
  </w:style>
  <w:style w:type="paragraph" w:customStyle="1" w:styleId="REG-H3A">
    <w:name w:val="REG-H3A"/>
    <w:link w:val="REG-H3AChar"/>
    <w:qFormat/>
    <w:rsid w:val="00D71513"/>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D71513"/>
    <w:pPr>
      <w:numPr>
        <w:numId w:val="1"/>
      </w:numPr>
      <w:contextualSpacing/>
    </w:pPr>
  </w:style>
  <w:style w:type="character" w:customStyle="1" w:styleId="REG-H3AChar">
    <w:name w:val="REG-H3A Char"/>
    <w:basedOn w:val="DefaultParagraphFont"/>
    <w:link w:val="REG-H3A"/>
    <w:rsid w:val="00D71513"/>
    <w:rPr>
      <w:rFonts w:ascii="Times New Roman" w:hAnsi="Times New Roman" w:cs="Times New Roman"/>
      <w:b/>
      <w:caps/>
      <w:noProof/>
    </w:rPr>
  </w:style>
  <w:style w:type="character" w:customStyle="1" w:styleId="A3">
    <w:name w:val="A3"/>
    <w:uiPriority w:val="99"/>
    <w:rsid w:val="00D71513"/>
    <w:rPr>
      <w:rFonts w:cs="Times"/>
      <w:color w:val="000000"/>
      <w:sz w:val="22"/>
      <w:szCs w:val="22"/>
    </w:rPr>
  </w:style>
  <w:style w:type="paragraph" w:customStyle="1" w:styleId="Head2B">
    <w:name w:val="Head 2B"/>
    <w:basedOn w:val="AS-H3A"/>
    <w:link w:val="Head2BChar"/>
    <w:rsid w:val="00D71513"/>
  </w:style>
  <w:style w:type="paragraph" w:styleId="ListParagraph">
    <w:name w:val="List Paragraph"/>
    <w:basedOn w:val="Normal"/>
    <w:link w:val="ListParagraphChar"/>
    <w:uiPriority w:val="34"/>
    <w:rsid w:val="00D71513"/>
    <w:pPr>
      <w:ind w:left="720"/>
      <w:contextualSpacing/>
    </w:pPr>
  </w:style>
  <w:style w:type="character" w:customStyle="1" w:styleId="Head2BChar">
    <w:name w:val="Head 2B Char"/>
    <w:basedOn w:val="AS-H3AChar"/>
    <w:link w:val="Head2B"/>
    <w:rsid w:val="00D71513"/>
    <w:rPr>
      <w:rFonts w:ascii="Times New Roman" w:hAnsi="Times New Roman" w:cs="Times New Roman"/>
      <w:b/>
      <w:caps/>
      <w:noProof/>
    </w:rPr>
  </w:style>
  <w:style w:type="paragraph" w:customStyle="1" w:styleId="Head3">
    <w:name w:val="Head 3"/>
    <w:basedOn w:val="ListParagraph"/>
    <w:link w:val="Head3Char"/>
    <w:rsid w:val="00D71513"/>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D71513"/>
    <w:rPr>
      <w:rFonts w:ascii="Times New Roman" w:hAnsi="Times New Roman"/>
      <w:noProof/>
    </w:rPr>
  </w:style>
  <w:style w:type="character" w:customStyle="1" w:styleId="Head3Char">
    <w:name w:val="Head 3 Char"/>
    <w:basedOn w:val="ListParagraphChar"/>
    <w:link w:val="Head3"/>
    <w:rsid w:val="00D71513"/>
    <w:rPr>
      <w:rFonts w:ascii="Times New Roman" w:eastAsia="Times New Roman" w:hAnsi="Times New Roman" w:cs="Times New Roman"/>
      <w:b/>
      <w:bCs/>
      <w:noProof/>
    </w:rPr>
  </w:style>
  <w:style w:type="paragraph" w:customStyle="1" w:styleId="REG-H1a">
    <w:name w:val="REG-H1a"/>
    <w:link w:val="REG-H1aChar"/>
    <w:qFormat/>
    <w:rsid w:val="00D71513"/>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D71513"/>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D71513"/>
    <w:rPr>
      <w:rFonts w:ascii="Arial" w:hAnsi="Arial" w:cs="Arial"/>
      <w:b/>
      <w:noProof/>
      <w:sz w:val="36"/>
      <w:szCs w:val="36"/>
    </w:rPr>
  </w:style>
  <w:style w:type="paragraph" w:customStyle="1" w:styleId="AS-H1-Colour">
    <w:name w:val="AS-H1-Colour"/>
    <w:basedOn w:val="Normal"/>
    <w:link w:val="AS-H1-ColourChar"/>
    <w:rsid w:val="00D71513"/>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D71513"/>
    <w:rPr>
      <w:rFonts w:ascii="Times New Roman" w:hAnsi="Times New Roman" w:cs="Times New Roman"/>
      <w:b/>
      <w:caps/>
      <w:noProof/>
      <w:color w:val="00B050"/>
      <w:sz w:val="24"/>
      <w:szCs w:val="24"/>
    </w:rPr>
  </w:style>
  <w:style w:type="paragraph" w:customStyle="1" w:styleId="AS-H2b">
    <w:name w:val="AS-H2b"/>
    <w:basedOn w:val="Normal"/>
    <w:link w:val="AS-H2bChar"/>
    <w:rsid w:val="00D71513"/>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D71513"/>
    <w:rPr>
      <w:rFonts w:ascii="Arial" w:hAnsi="Arial" w:cs="Arial"/>
      <w:b/>
      <w:noProof/>
      <w:color w:val="00B050"/>
      <w:sz w:val="36"/>
      <w:szCs w:val="36"/>
    </w:rPr>
  </w:style>
  <w:style w:type="paragraph" w:customStyle="1" w:styleId="AS-H3">
    <w:name w:val="AS-H3"/>
    <w:basedOn w:val="AS-H3A"/>
    <w:link w:val="AS-H3Char"/>
    <w:rsid w:val="00D71513"/>
    <w:rPr>
      <w:sz w:val="28"/>
    </w:rPr>
  </w:style>
  <w:style w:type="character" w:customStyle="1" w:styleId="AS-H2bChar">
    <w:name w:val="AS-H2b Char"/>
    <w:basedOn w:val="DefaultParagraphFont"/>
    <w:link w:val="AS-H2b"/>
    <w:rsid w:val="00D71513"/>
    <w:rPr>
      <w:rFonts w:ascii="Arial" w:hAnsi="Arial" w:cs="Arial"/>
      <w:noProof/>
    </w:rPr>
  </w:style>
  <w:style w:type="paragraph" w:customStyle="1" w:styleId="REG-H3b">
    <w:name w:val="REG-H3b"/>
    <w:link w:val="REG-H3bChar"/>
    <w:qFormat/>
    <w:rsid w:val="00D71513"/>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D71513"/>
    <w:rPr>
      <w:rFonts w:ascii="Times New Roman" w:hAnsi="Times New Roman" w:cs="Times New Roman"/>
      <w:b/>
      <w:caps/>
      <w:noProof/>
      <w:sz w:val="28"/>
    </w:rPr>
  </w:style>
  <w:style w:type="paragraph" w:customStyle="1" w:styleId="AS-H3c">
    <w:name w:val="AS-H3c"/>
    <w:basedOn w:val="Head2B"/>
    <w:link w:val="AS-H3cChar"/>
    <w:rsid w:val="00D71513"/>
    <w:rPr>
      <w:b w:val="0"/>
    </w:rPr>
  </w:style>
  <w:style w:type="character" w:customStyle="1" w:styleId="REG-H3bChar">
    <w:name w:val="REG-H3b Char"/>
    <w:basedOn w:val="REG-H3AChar"/>
    <w:link w:val="REG-H3b"/>
    <w:rsid w:val="00D71513"/>
    <w:rPr>
      <w:rFonts w:ascii="Times New Roman" w:hAnsi="Times New Roman" w:cs="Times New Roman"/>
      <w:b w:val="0"/>
      <w:caps w:val="0"/>
      <w:noProof/>
    </w:rPr>
  </w:style>
  <w:style w:type="paragraph" w:customStyle="1" w:styleId="AS-H3d">
    <w:name w:val="AS-H3d"/>
    <w:basedOn w:val="Head2B"/>
    <w:link w:val="AS-H3dChar"/>
    <w:rsid w:val="00D71513"/>
  </w:style>
  <w:style w:type="character" w:customStyle="1" w:styleId="AS-H3cChar">
    <w:name w:val="AS-H3c Char"/>
    <w:basedOn w:val="Head2BChar"/>
    <w:link w:val="AS-H3c"/>
    <w:rsid w:val="00D71513"/>
    <w:rPr>
      <w:rFonts w:ascii="Times New Roman" w:hAnsi="Times New Roman" w:cs="Times New Roman"/>
      <w:b w:val="0"/>
      <w:caps/>
      <w:noProof/>
    </w:rPr>
  </w:style>
  <w:style w:type="paragraph" w:customStyle="1" w:styleId="REG-P0">
    <w:name w:val="REG-P(0)"/>
    <w:basedOn w:val="Normal"/>
    <w:link w:val="REG-P0Char"/>
    <w:qFormat/>
    <w:rsid w:val="00D71513"/>
    <w:pPr>
      <w:tabs>
        <w:tab w:val="left" w:pos="567"/>
      </w:tabs>
      <w:jc w:val="both"/>
    </w:pPr>
    <w:rPr>
      <w:rFonts w:eastAsia="Times New Roman" w:cs="Times New Roman"/>
    </w:rPr>
  </w:style>
  <w:style w:type="character" w:customStyle="1" w:styleId="AS-H3dChar">
    <w:name w:val="AS-H3d Char"/>
    <w:basedOn w:val="Head2BChar"/>
    <w:link w:val="AS-H3d"/>
    <w:rsid w:val="00D71513"/>
    <w:rPr>
      <w:rFonts w:ascii="Times New Roman" w:hAnsi="Times New Roman" w:cs="Times New Roman"/>
      <w:b/>
      <w:caps/>
      <w:noProof/>
    </w:rPr>
  </w:style>
  <w:style w:type="paragraph" w:customStyle="1" w:styleId="REG-P1">
    <w:name w:val="REG-P(1)"/>
    <w:basedOn w:val="Normal"/>
    <w:link w:val="REG-P1Char"/>
    <w:qFormat/>
    <w:rsid w:val="00D71513"/>
    <w:pPr>
      <w:suppressAutoHyphens/>
      <w:ind w:firstLine="567"/>
      <w:jc w:val="both"/>
    </w:pPr>
    <w:rPr>
      <w:rFonts w:eastAsia="Times New Roman" w:cs="Times New Roman"/>
    </w:rPr>
  </w:style>
  <w:style w:type="character" w:customStyle="1" w:styleId="REG-P0Char">
    <w:name w:val="REG-P(0) Char"/>
    <w:basedOn w:val="DefaultParagraphFont"/>
    <w:link w:val="REG-P0"/>
    <w:rsid w:val="00D71513"/>
    <w:rPr>
      <w:rFonts w:ascii="Times New Roman" w:eastAsia="Times New Roman" w:hAnsi="Times New Roman" w:cs="Times New Roman"/>
      <w:noProof/>
    </w:rPr>
  </w:style>
  <w:style w:type="paragraph" w:customStyle="1" w:styleId="REG-Pa">
    <w:name w:val="REG-P(a)"/>
    <w:basedOn w:val="Normal"/>
    <w:link w:val="REG-PaChar"/>
    <w:qFormat/>
    <w:rsid w:val="00D71513"/>
    <w:pPr>
      <w:ind w:left="1134" w:hanging="567"/>
      <w:jc w:val="both"/>
    </w:pPr>
  </w:style>
  <w:style w:type="character" w:customStyle="1" w:styleId="REG-P1Char">
    <w:name w:val="REG-P(1) Char"/>
    <w:basedOn w:val="DefaultParagraphFont"/>
    <w:link w:val="REG-P1"/>
    <w:rsid w:val="00D71513"/>
    <w:rPr>
      <w:rFonts w:ascii="Times New Roman" w:eastAsia="Times New Roman" w:hAnsi="Times New Roman" w:cs="Times New Roman"/>
      <w:noProof/>
    </w:rPr>
  </w:style>
  <w:style w:type="paragraph" w:customStyle="1" w:styleId="REG-Pi">
    <w:name w:val="REG-P(i)"/>
    <w:basedOn w:val="Normal"/>
    <w:link w:val="REG-PiChar"/>
    <w:qFormat/>
    <w:rsid w:val="00D71513"/>
    <w:pPr>
      <w:suppressAutoHyphens/>
      <w:ind w:left="1701" w:hanging="567"/>
      <w:jc w:val="both"/>
    </w:pPr>
    <w:rPr>
      <w:rFonts w:eastAsia="Times New Roman" w:cs="Times New Roman"/>
    </w:rPr>
  </w:style>
  <w:style w:type="character" w:customStyle="1" w:styleId="REG-PaChar">
    <w:name w:val="REG-P(a) Char"/>
    <w:basedOn w:val="DefaultParagraphFont"/>
    <w:link w:val="REG-Pa"/>
    <w:rsid w:val="00D71513"/>
    <w:rPr>
      <w:rFonts w:ascii="Times New Roman" w:hAnsi="Times New Roman"/>
      <w:noProof/>
    </w:rPr>
  </w:style>
  <w:style w:type="paragraph" w:customStyle="1" w:styleId="AS-Pahang">
    <w:name w:val="AS-P(a)hang"/>
    <w:basedOn w:val="Normal"/>
    <w:link w:val="AS-PahangChar"/>
    <w:rsid w:val="00D71513"/>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D71513"/>
    <w:rPr>
      <w:rFonts w:ascii="Times New Roman" w:eastAsia="Times New Roman" w:hAnsi="Times New Roman" w:cs="Times New Roman"/>
      <w:noProof/>
    </w:rPr>
  </w:style>
  <w:style w:type="paragraph" w:customStyle="1" w:styleId="REG-Paa">
    <w:name w:val="REG-P(aa)"/>
    <w:basedOn w:val="Normal"/>
    <w:link w:val="REG-PaaChar"/>
    <w:qFormat/>
    <w:rsid w:val="00D71513"/>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D71513"/>
    <w:rPr>
      <w:rFonts w:ascii="Times New Roman" w:eastAsia="Times New Roman" w:hAnsi="Times New Roman" w:cs="Times New Roman"/>
      <w:noProof/>
    </w:rPr>
  </w:style>
  <w:style w:type="paragraph" w:customStyle="1" w:styleId="REG-Amend">
    <w:name w:val="REG-Amend"/>
    <w:link w:val="REG-AmendChar"/>
    <w:qFormat/>
    <w:rsid w:val="00D71513"/>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D71513"/>
    <w:rPr>
      <w:rFonts w:ascii="Times New Roman" w:eastAsia="Times New Roman" w:hAnsi="Times New Roman" w:cs="Times New Roman"/>
      <w:noProof/>
    </w:rPr>
  </w:style>
  <w:style w:type="character" w:customStyle="1" w:styleId="REG-AmendChar">
    <w:name w:val="REG-Amend Char"/>
    <w:basedOn w:val="REG-P0Char"/>
    <w:link w:val="REG-Amend"/>
    <w:rsid w:val="00D71513"/>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D71513"/>
    <w:rPr>
      <w:sz w:val="16"/>
      <w:szCs w:val="16"/>
    </w:rPr>
  </w:style>
  <w:style w:type="paragraph" w:styleId="CommentText">
    <w:name w:val="annotation text"/>
    <w:basedOn w:val="Normal"/>
    <w:link w:val="CommentTextChar"/>
    <w:uiPriority w:val="99"/>
    <w:semiHidden/>
    <w:unhideWhenUsed/>
    <w:rsid w:val="00D71513"/>
    <w:rPr>
      <w:sz w:val="20"/>
      <w:szCs w:val="20"/>
    </w:rPr>
  </w:style>
  <w:style w:type="character" w:customStyle="1" w:styleId="CommentTextChar">
    <w:name w:val="Comment Text Char"/>
    <w:basedOn w:val="DefaultParagraphFont"/>
    <w:link w:val="CommentText"/>
    <w:uiPriority w:val="99"/>
    <w:semiHidden/>
    <w:rsid w:val="00D71513"/>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D71513"/>
    <w:rPr>
      <w:b/>
      <w:bCs/>
    </w:rPr>
  </w:style>
  <w:style w:type="character" w:customStyle="1" w:styleId="CommentSubjectChar">
    <w:name w:val="Comment Subject Char"/>
    <w:basedOn w:val="CommentTextChar"/>
    <w:link w:val="CommentSubject"/>
    <w:uiPriority w:val="99"/>
    <w:semiHidden/>
    <w:rsid w:val="00D71513"/>
    <w:rPr>
      <w:rFonts w:ascii="Times New Roman" w:hAnsi="Times New Roman"/>
      <w:b/>
      <w:bCs/>
      <w:noProof/>
      <w:sz w:val="20"/>
      <w:szCs w:val="20"/>
    </w:rPr>
  </w:style>
  <w:style w:type="paragraph" w:customStyle="1" w:styleId="AS-H4A">
    <w:name w:val="AS-H4A"/>
    <w:basedOn w:val="AS-P0"/>
    <w:link w:val="AS-H4AChar"/>
    <w:rsid w:val="00D71513"/>
    <w:pPr>
      <w:tabs>
        <w:tab w:val="clear" w:pos="567"/>
      </w:tabs>
      <w:jc w:val="center"/>
    </w:pPr>
    <w:rPr>
      <w:b/>
      <w:caps/>
    </w:rPr>
  </w:style>
  <w:style w:type="paragraph" w:customStyle="1" w:styleId="AS-H4b">
    <w:name w:val="AS-H4b"/>
    <w:basedOn w:val="AS-P0"/>
    <w:link w:val="AS-H4bChar"/>
    <w:rsid w:val="00D71513"/>
    <w:pPr>
      <w:tabs>
        <w:tab w:val="clear" w:pos="567"/>
      </w:tabs>
      <w:jc w:val="center"/>
    </w:pPr>
    <w:rPr>
      <w:b/>
    </w:rPr>
  </w:style>
  <w:style w:type="character" w:customStyle="1" w:styleId="AS-H4AChar">
    <w:name w:val="AS-H4A Char"/>
    <w:basedOn w:val="AS-P0Char"/>
    <w:link w:val="AS-H4A"/>
    <w:rsid w:val="00D71513"/>
    <w:rPr>
      <w:rFonts w:ascii="Times New Roman" w:eastAsia="Times New Roman" w:hAnsi="Times New Roman" w:cs="Times New Roman"/>
      <w:b/>
      <w:caps/>
      <w:noProof/>
    </w:rPr>
  </w:style>
  <w:style w:type="character" w:customStyle="1" w:styleId="AS-H4bChar">
    <w:name w:val="AS-H4b Char"/>
    <w:basedOn w:val="AS-P0Char"/>
    <w:link w:val="AS-H4b"/>
    <w:rsid w:val="00D71513"/>
    <w:rPr>
      <w:rFonts w:ascii="Times New Roman" w:eastAsia="Times New Roman" w:hAnsi="Times New Roman" w:cs="Times New Roman"/>
      <w:b/>
      <w:noProof/>
    </w:rPr>
  </w:style>
  <w:style w:type="paragraph" w:customStyle="1" w:styleId="AS-H2a">
    <w:name w:val="AS-H2a"/>
    <w:basedOn w:val="Normal"/>
    <w:link w:val="AS-H2aChar"/>
    <w:rsid w:val="00D71513"/>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D71513"/>
    <w:rPr>
      <w:rFonts w:ascii="Arial" w:hAnsi="Arial" w:cs="Arial"/>
      <w:b/>
      <w:noProof/>
    </w:rPr>
  </w:style>
  <w:style w:type="paragraph" w:customStyle="1" w:styleId="REG-H1d">
    <w:name w:val="REG-H1d"/>
    <w:link w:val="REG-H1dChar"/>
    <w:qFormat/>
    <w:rsid w:val="00D71513"/>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D71513"/>
    <w:rPr>
      <w:rFonts w:ascii="Arial" w:hAnsi="Arial" w:cs="Arial"/>
      <w:b w:val="0"/>
      <w:noProof/>
      <w:color w:val="000000"/>
      <w:szCs w:val="24"/>
      <w:lang w:val="en-ZA"/>
    </w:rPr>
  </w:style>
  <w:style w:type="table" w:styleId="TableGrid">
    <w:name w:val="Table Grid"/>
    <w:basedOn w:val="TableNormal"/>
    <w:uiPriority w:val="59"/>
    <w:rsid w:val="00D71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D71513"/>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D71513"/>
    <w:rPr>
      <w:rFonts w:ascii="Times New Roman" w:eastAsia="Times New Roman" w:hAnsi="Times New Roman"/>
      <w:noProof/>
      <w:sz w:val="24"/>
      <w:szCs w:val="24"/>
      <w:lang w:val="en-US" w:eastAsia="en-US"/>
    </w:rPr>
  </w:style>
  <w:style w:type="paragraph" w:customStyle="1" w:styleId="AS-P0">
    <w:name w:val="AS-P(0)"/>
    <w:basedOn w:val="Normal"/>
    <w:link w:val="AS-P0Char"/>
    <w:rsid w:val="00D71513"/>
    <w:pPr>
      <w:tabs>
        <w:tab w:val="left" w:pos="567"/>
      </w:tabs>
      <w:jc w:val="both"/>
    </w:pPr>
    <w:rPr>
      <w:rFonts w:eastAsia="Times New Roman" w:cs="Times New Roman"/>
    </w:rPr>
  </w:style>
  <w:style w:type="character" w:customStyle="1" w:styleId="AS-P0Char">
    <w:name w:val="AS-P(0) Char"/>
    <w:basedOn w:val="DefaultParagraphFont"/>
    <w:link w:val="AS-P0"/>
    <w:rsid w:val="00D71513"/>
    <w:rPr>
      <w:rFonts w:ascii="Times New Roman" w:eastAsia="Times New Roman" w:hAnsi="Times New Roman" w:cs="Times New Roman"/>
      <w:noProof/>
    </w:rPr>
  </w:style>
  <w:style w:type="paragraph" w:customStyle="1" w:styleId="AS-H3A">
    <w:name w:val="AS-H3A"/>
    <w:basedOn w:val="Normal"/>
    <w:link w:val="AS-H3AChar"/>
    <w:rsid w:val="00D71513"/>
    <w:pPr>
      <w:autoSpaceDE w:val="0"/>
      <w:autoSpaceDN w:val="0"/>
      <w:adjustRightInd w:val="0"/>
      <w:jc w:val="center"/>
    </w:pPr>
    <w:rPr>
      <w:rFonts w:cs="Times New Roman"/>
      <w:b/>
      <w:caps/>
    </w:rPr>
  </w:style>
  <w:style w:type="character" w:customStyle="1" w:styleId="AS-H3AChar">
    <w:name w:val="AS-H3A Char"/>
    <w:basedOn w:val="DefaultParagraphFont"/>
    <w:link w:val="AS-H3A"/>
    <w:rsid w:val="00D71513"/>
    <w:rPr>
      <w:rFonts w:ascii="Times New Roman" w:hAnsi="Times New Roman" w:cs="Times New Roman"/>
      <w:b/>
      <w:caps/>
      <w:noProof/>
    </w:rPr>
  </w:style>
  <w:style w:type="paragraph" w:customStyle="1" w:styleId="AS-H1a">
    <w:name w:val="AS-H1a"/>
    <w:basedOn w:val="Normal"/>
    <w:link w:val="AS-H1aChar"/>
    <w:rsid w:val="00D71513"/>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D71513"/>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D71513"/>
    <w:rPr>
      <w:rFonts w:ascii="Arial" w:hAnsi="Arial" w:cs="Arial"/>
      <w:b/>
      <w:noProof/>
      <w:sz w:val="36"/>
      <w:szCs w:val="36"/>
    </w:rPr>
  </w:style>
  <w:style w:type="character" w:customStyle="1" w:styleId="AS-H2Char">
    <w:name w:val="AS-H2 Char"/>
    <w:basedOn w:val="DefaultParagraphFont"/>
    <w:link w:val="AS-H2"/>
    <w:rsid w:val="00D71513"/>
    <w:rPr>
      <w:rFonts w:ascii="Times New Roman" w:hAnsi="Times New Roman" w:cs="Times New Roman"/>
      <w:b/>
      <w:caps/>
      <w:noProof/>
      <w:color w:val="000000"/>
      <w:sz w:val="26"/>
    </w:rPr>
  </w:style>
  <w:style w:type="paragraph" w:customStyle="1" w:styleId="AS-H3b">
    <w:name w:val="AS-H3b"/>
    <w:basedOn w:val="Normal"/>
    <w:link w:val="AS-H3bChar"/>
    <w:autoRedefine/>
    <w:rsid w:val="00D71513"/>
    <w:pPr>
      <w:jc w:val="center"/>
    </w:pPr>
    <w:rPr>
      <w:rFonts w:cs="Times New Roman"/>
      <w:b/>
    </w:rPr>
  </w:style>
  <w:style w:type="character" w:customStyle="1" w:styleId="AS-H3bChar">
    <w:name w:val="AS-H3b Char"/>
    <w:basedOn w:val="AS-H3AChar"/>
    <w:link w:val="AS-H3b"/>
    <w:rsid w:val="00D71513"/>
    <w:rPr>
      <w:rFonts w:ascii="Times New Roman" w:hAnsi="Times New Roman" w:cs="Times New Roman"/>
      <w:b/>
      <w:caps w:val="0"/>
      <w:noProof/>
    </w:rPr>
  </w:style>
  <w:style w:type="paragraph" w:customStyle="1" w:styleId="AS-P1">
    <w:name w:val="AS-P(1)"/>
    <w:basedOn w:val="Normal"/>
    <w:link w:val="AS-P1Char"/>
    <w:rsid w:val="00D71513"/>
    <w:pPr>
      <w:suppressAutoHyphens/>
      <w:ind w:right="-7" w:firstLine="567"/>
      <w:jc w:val="both"/>
    </w:pPr>
    <w:rPr>
      <w:rFonts w:eastAsia="Times New Roman" w:cs="Times New Roman"/>
    </w:rPr>
  </w:style>
  <w:style w:type="paragraph" w:customStyle="1" w:styleId="AS-Pa">
    <w:name w:val="AS-P(a)"/>
    <w:basedOn w:val="AS-Pahang"/>
    <w:link w:val="AS-PaChar"/>
    <w:rsid w:val="00D71513"/>
  </w:style>
  <w:style w:type="character" w:customStyle="1" w:styleId="AS-P1Char">
    <w:name w:val="AS-P(1) Char"/>
    <w:basedOn w:val="DefaultParagraphFont"/>
    <w:link w:val="AS-P1"/>
    <w:rsid w:val="00D71513"/>
    <w:rPr>
      <w:rFonts w:ascii="Times New Roman" w:eastAsia="Times New Roman" w:hAnsi="Times New Roman" w:cs="Times New Roman"/>
      <w:noProof/>
    </w:rPr>
  </w:style>
  <w:style w:type="paragraph" w:customStyle="1" w:styleId="AS-Pi">
    <w:name w:val="AS-P(i)"/>
    <w:basedOn w:val="Normal"/>
    <w:link w:val="AS-PiChar"/>
    <w:rsid w:val="00D71513"/>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D71513"/>
    <w:rPr>
      <w:rFonts w:ascii="Times New Roman" w:eastAsia="Times New Roman" w:hAnsi="Times New Roman" w:cs="Times New Roman"/>
      <w:noProof/>
    </w:rPr>
  </w:style>
  <w:style w:type="character" w:customStyle="1" w:styleId="AS-PiChar">
    <w:name w:val="AS-P(i) Char"/>
    <w:basedOn w:val="DefaultParagraphFont"/>
    <w:link w:val="AS-Pi"/>
    <w:rsid w:val="00D71513"/>
    <w:rPr>
      <w:rFonts w:ascii="Times New Roman" w:eastAsia="Times New Roman" w:hAnsi="Times New Roman" w:cs="Times New Roman"/>
      <w:noProof/>
    </w:rPr>
  </w:style>
  <w:style w:type="paragraph" w:customStyle="1" w:styleId="AS-Paa">
    <w:name w:val="AS-P(aa)"/>
    <w:basedOn w:val="Normal"/>
    <w:link w:val="AS-PaaChar"/>
    <w:rsid w:val="00D71513"/>
    <w:pPr>
      <w:suppressAutoHyphens/>
      <w:ind w:left="2267" w:right="-7" w:hanging="566"/>
      <w:jc w:val="both"/>
    </w:pPr>
    <w:rPr>
      <w:rFonts w:eastAsia="Times New Roman" w:cs="Times New Roman"/>
    </w:rPr>
  </w:style>
  <w:style w:type="paragraph" w:customStyle="1" w:styleId="AS-P-Amend">
    <w:name w:val="AS-P-Amend"/>
    <w:link w:val="AS-P-AmendChar"/>
    <w:rsid w:val="00D71513"/>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D71513"/>
    <w:rPr>
      <w:rFonts w:ascii="Times New Roman" w:eastAsia="Times New Roman" w:hAnsi="Times New Roman" w:cs="Times New Roman"/>
      <w:noProof/>
    </w:rPr>
  </w:style>
  <w:style w:type="character" w:customStyle="1" w:styleId="AS-P-AmendChar">
    <w:name w:val="AS-P-Amend Char"/>
    <w:basedOn w:val="AS-P0Char"/>
    <w:link w:val="AS-P-Amend"/>
    <w:rsid w:val="00D71513"/>
    <w:rPr>
      <w:rFonts w:ascii="Arial" w:eastAsia="Times New Roman" w:hAnsi="Arial" w:cs="Arial"/>
      <w:b/>
      <w:noProof/>
      <w:color w:val="00B050"/>
      <w:sz w:val="18"/>
      <w:szCs w:val="18"/>
    </w:rPr>
  </w:style>
  <w:style w:type="paragraph" w:customStyle="1" w:styleId="AS-H1b">
    <w:name w:val="AS-H1b"/>
    <w:basedOn w:val="Normal"/>
    <w:link w:val="AS-H1bChar"/>
    <w:rsid w:val="00D71513"/>
    <w:pPr>
      <w:jc w:val="center"/>
    </w:pPr>
    <w:rPr>
      <w:rFonts w:ascii="Arial" w:hAnsi="Arial" w:cs="Arial"/>
      <w:b/>
      <w:color w:val="000000"/>
      <w:sz w:val="24"/>
      <w:szCs w:val="24"/>
    </w:rPr>
  </w:style>
  <w:style w:type="character" w:customStyle="1" w:styleId="AS-H1bChar">
    <w:name w:val="AS-H1b Char"/>
    <w:basedOn w:val="AS-H2aChar"/>
    <w:link w:val="AS-H1b"/>
    <w:rsid w:val="00D71513"/>
    <w:rPr>
      <w:rFonts w:ascii="Arial" w:hAnsi="Arial" w:cs="Arial"/>
      <w:b/>
      <w:noProof/>
      <w:color w:val="000000"/>
      <w:sz w:val="24"/>
      <w:szCs w:val="24"/>
    </w:rPr>
  </w:style>
  <w:style w:type="paragraph" w:customStyle="1" w:styleId="REG-H1b">
    <w:name w:val="REG-H1b"/>
    <w:link w:val="REG-H1bChar"/>
    <w:qFormat/>
    <w:rsid w:val="00D71513"/>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D71513"/>
    <w:rPr>
      <w:rFonts w:ascii="Times New Roman" w:eastAsia="Times New Roman" w:hAnsi="Times New Roman"/>
      <w:b/>
      <w:bCs/>
      <w:noProof/>
    </w:rPr>
  </w:style>
  <w:style w:type="paragraph" w:customStyle="1" w:styleId="TableParagraph">
    <w:name w:val="Table Paragraph"/>
    <w:basedOn w:val="Normal"/>
    <w:uiPriority w:val="1"/>
    <w:rsid w:val="00D71513"/>
  </w:style>
  <w:style w:type="table" w:customStyle="1" w:styleId="TableGrid0">
    <w:name w:val="TableGrid"/>
    <w:rsid w:val="00D71513"/>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D71513"/>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D71513"/>
    <w:rPr>
      <w:rFonts w:ascii="Arial" w:hAnsi="Arial"/>
      <w:b/>
      <w:noProof/>
      <w:sz w:val="28"/>
      <w:szCs w:val="24"/>
    </w:rPr>
  </w:style>
  <w:style w:type="character" w:customStyle="1" w:styleId="REG-H1cChar">
    <w:name w:val="REG-H1c Char"/>
    <w:basedOn w:val="REG-H1bChar"/>
    <w:link w:val="REG-H1c"/>
    <w:rsid w:val="00D71513"/>
    <w:rPr>
      <w:rFonts w:ascii="Arial" w:hAnsi="Arial"/>
      <w:b/>
      <w:noProof/>
      <w:sz w:val="24"/>
      <w:szCs w:val="24"/>
    </w:rPr>
  </w:style>
  <w:style w:type="paragraph" w:customStyle="1" w:styleId="REG-PHA">
    <w:name w:val="REG-PH(A)"/>
    <w:link w:val="REG-PHAChar"/>
    <w:qFormat/>
    <w:rsid w:val="00D71513"/>
    <w:pPr>
      <w:spacing w:after="0" w:line="240" w:lineRule="auto"/>
      <w:jc w:val="center"/>
    </w:pPr>
    <w:rPr>
      <w:rFonts w:ascii="Arial" w:hAnsi="Arial"/>
      <w:b/>
      <w:caps/>
      <w:noProof/>
      <w:sz w:val="16"/>
      <w:szCs w:val="24"/>
    </w:rPr>
  </w:style>
  <w:style w:type="paragraph" w:customStyle="1" w:styleId="REG-PHb">
    <w:name w:val="REG-PH(b)"/>
    <w:link w:val="REG-PHbChar"/>
    <w:qFormat/>
    <w:rsid w:val="00D71513"/>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D71513"/>
    <w:rPr>
      <w:rFonts w:ascii="Arial" w:hAnsi="Arial"/>
      <w:b/>
      <w:caps/>
      <w:noProof/>
      <w:sz w:val="16"/>
      <w:szCs w:val="24"/>
    </w:rPr>
  </w:style>
  <w:style w:type="character" w:customStyle="1" w:styleId="REG-PHbChar">
    <w:name w:val="REG-PH(b) Char"/>
    <w:basedOn w:val="REG-H1bChar"/>
    <w:link w:val="REG-PHb"/>
    <w:rsid w:val="00D71513"/>
    <w:rPr>
      <w:rFonts w:ascii="Arial" w:hAnsi="Arial" w:cs="Arial"/>
      <w:b/>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2AC8C-0245-4A79-887F-BE52F4026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27</TotalTime>
  <Pages>2</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#4378-Gov N226-Act 8 of 2009</dc:title>
  <dc:creator>Valued Acer Customer</dc:creator>
  <cp:lastModifiedBy>perric</cp:lastModifiedBy>
  <cp:revision>13</cp:revision>
  <dcterms:created xsi:type="dcterms:W3CDTF">2015-10-09T13:25:00Z</dcterms:created>
  <dcterms:modified xsi:type="dcterms:W3CDTF">2015-11-07T16:01:00Z</dcterms:modified>
</cp:coreProperties>
</file>