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E9" w:rsidRPr="00C21A2F" w:rsidRDefault="00AF321A" w:rsidP="00D51089">
      <w:pPr>
        <w:pStyle w:val="REG-H1a"/>
      </w:pPr>
      <w:r w:rsidRPr="00C21A2F">
        <w:rPr>
          <w:lang w:val="en-ZA" w:eastAsia="en-ZA"/>
        </w:rPr>
        <w:drawing>
          <wp:anchor distT="0" distB="0" distL="114300" distR="114300" simplePos="0" relativeHeight="251658240" behindDoc="0" locked="1" layoutInCell="0" allowOverlap="0">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rsidR="00EB7655" w:rsidRPr="00C21A2F" w:rsidRDefault="00D2019F" w:rsidP="00682D07">
      <w:pPr>
        <w:pStyle w:val="REG-H1d"/>
        <w:rPr>
          <w:lang w:val="en-GB"/>
        </w:rPr>
      </w:pPr>
      <w:r w:rsidRPr="00C21A2F">
        <w:rPr>
          <w:lang w:val="en-GB"/>
        </w:rPr>
        <w:t xml:space="preserve">REGULATIONS </w:t>
      </w:r>
      <w:r w:rsidR="00A44378" w:rsidRPr="00C21A2F">
        <w:rPr>
          <w:lang w:val="en-GB"/>
        </w:rPr>
        <w:t xml:space="preserve">SURVIVING </w:t>
      </w:r>
      <w:r w:rsidRPr="00C21A2F">
        <w:rPr>
          <w:lang w:val="en-GB"/>
        </w:rPr>
        <w:t>IN TERMS OF</w:t>
      </w:r>
    </w:p>
    <w:p w:rsidR="00E2335D" w:rsidRPr="00C21A2F" w:rsidRDefault="00E2335D" w:rsidP="00BD2B69">
      <w:pPr>
        <w:pStyle w:val="REG-H1d"/>
        <w:rPr>
          <w:lang w:val="en-GB"/>
        </w:rPr>
      </w:pPr>
    </w:p>
    <w:p w:rsidR="00E2335D" w:rsidRPr="00C21A2F" w:rsidRDefault="00346F74" w:rsidP="00E2335D">
      <w:pPr>
        <w:pStyle w:val="REG-H1a"/>
      </w:pPr>
      <w:r w:rsidRPr="00C21A2F">
        <w:t>Legal Practitioners Act 15 of 1995</w:t>
      </w:r>
    </w:p>
    <w:p w:rsidR="00BD2B69" w:rsidRPr="00C21A2F" w:rsidRDefault="00D924D5" w:rsidP="00BC6658">
      <w:pPr>
        <w:pStyle w:val="REG-H1b"/>
        <w:rPr>
          <w:b w:val="0"/>
        </w:rPr>
      </w:pPr>
      <w:r w:rsidRPr="00C21A2F">
        <w:rPr>
          <w:b w:val="0"/>
        </w:rPr>
        <w:t>s</w:t>
      </w:r>
      <w:r w:rsidR="00BD2B69" w:rsidRPr="00C21A2F">
        <w:rPr>
          <w:b w:val="0"/>
        </w:rPr>
        <w:t xml:space="preserve">ection </w:t>
      </w:r>
      <w:r w:rsidR="00346F74" w:rsidRPr="00C21A2F">
        <w:rPr>
          <w:b w:val="0"/>
        </w:rPr>
        <w:t>94(4)</w:t>
      </w:r>
    </w:p>
    <w:p w:rsidR="00E2335D" w:rsidRPr="00C21A2F" w:rsidRDefault="00E2335D" w:rsidP="00E2335D">
      <w:pPr>
        <w:pStyle w:val="REG-H1a"/>
        <w:pBdr>
          <w:bottom w:val="single" w:sz="4" w:space="1" w:color="auto"/>
        </w:pBdr>
      </w:pPr>
    </w:p>
    <w:p w:rsidR="00E2335D" w:rsidRPr="00C21A2F" w:rsidRDefault="00E2335D" w:rsidP="00E2335D">
      <w:pPr>
        <w:pStyle w:val="REG-H1a"/>
      </w:pPr>
    </w:p>
    <w:p w:rsidR="00E2335D" w:rsidRPr="00C21A2F" w:rsidRDefault="007A7B42" w:rsidP="00E2335D">
      <w:pPr>
        <w:pStyle w:val="REG-H1b"/>
      </w:pPr>
      <w:r w:rsidRPr="00C21A2F">
        <w:t>Regulations under the Legal Practitioners</w:t>
      </w:r>
      <w:r w:rsidR="00FC4863" w:rsidRPr="00C21A2F">
        <w:t>’</w:t>
      </w:r>
      <w:r w:rsidRPr="00C21A2F">
        <w:t xml:space="preserve"> </w:t>
      </w:r>
      <w:r w:rsidR="00346F74" w:rsidRPr="00C21A2F">
        <w:br/>
      </w:r>
      <w:r w:rsidRPr="00C21A2F">
        <w:t>Fidelity Fund Act, 1990</w:t>
      </w:r>
    </w:p>
    <w:p w:rsidR="00D2019F" w:rsidRPr="00C21A2F" w:rsidRDefault="00BD2B69" w:rsidP="00C838EC">
      <w:pPr>
        <w:pStyle w:val="REG-H1d"/>
        <w:rPr>
          <w:lang w:val="en-GB"/>
        </w:rPr>
      </w:pPr>
      <w:r w:rsidRPr="00C21A2F">
        <w:rPr>
          <w:lang w:val="en-GB"/>
        </w:rPr>
        <w:t xml:space="preserve">Government Notice </w:t>
      </w:r>
      <w:r w:rsidR="007A7B42" w:rsidRPr="00C21A2F">
        <w:rPr>
          <w:lang w:val="en-GB"/>
        </w:rPr>
        <w:t>136</w:t>
      </w:r>
      <w:r w:rsidR="005709A6" w:rsidRPr="00C21A2F">
        <w:rPr>
          <w:lang w:val="en-GB"/>
        </w:rPr>
        <w:t xml:space="preserve"> </w:t>
      </w:r>
      <w:r w:rsidR="005C16B3" w:rsidRPr="00C21A2F">
        <w:rPr>
          <w:lang w:val="en-GB"/>
        </w:rPr>
        <w:t>of</w:t>
      </w:r>
      <w:r w:rsidR="005709A6" w:rsidRPr="00C21A2F">
        <w:rPr>
          <w:lang w:val="en-GB"/>
        </w:rPr>
        <w:t xml:space="preserve"> </w:t>
      </w:r>
      <w:r w:rsidR="007A7B42" w:rsidRPr="00C21A2F">
        <w:rPr>
          <w:lang w:val="en-GB"/>
        </w:rPr>
        <w:t>1993</w:t>
      </w:r>
    </w:p>
    <w:p w:rsidR="003013D8" w:rsidRPr="00C21A2F" w:rsidRDefault="003013D8" w:rsidP="003013D8">
      <w:pPr>
        <w:pStyle w:val="REG-Amend"/>
      </w:pPr>
      <w:r w:rsidRPr="00C21A2F">
        <w:t>(</w:t>
      </w:r>
      <w:hyperlink r:id="rId9" w:history="1">
        <w:r w:rsidR="003443EF" w:rsidRPr="00042F62">
          <w:rPr>
            <w:rStyle w:val="Hyperlink"/>
            <w:lang w:val="en-ZA"/>
          </w:rPr>
          <w:t>GG 741</w:t>
        </w:r>
      </w:hyperlink>
      <w:r w:rsidRPr="00C21A2F">
        <w:t>)</w:t>
      </w:r>
    </w:p>
    <w:p w:rsidR="003013D8" w:rsidRPr="00C21A2F" w:rsidRDefault="003013D8" w:rsidP="003013D8">
      <w:pPr>
        <w:pStyle w:val="REG-Amend"/>
      </w:pPr>
      <w:r w:rsidRPr="00C21A2F">
        <w:t xml:space="preserve">came into force on date of publication: </w:t>
      </w:r>
      <w:r w:rsidR="007A7B42" w:rsidRPr="00C21A2F">
        <w:t>11 November 1993</w:t>
      </w:r>
    </w:p>
    <w:p w:rsidR="00346F74" w:rsidRPr="00C21A2F" w:rsidRDefault="00346F74" w:rsidP="003013D8">
      <w:pPr>
        <w:pStyle w:val="REG-Amend"/>
      </w:pPr>
      <w:bookmarkStart w:id="0" w:name="_GoBack"/>
      <w:bookmarkEnd w:id="0"/>
    </w:p>
    <w:p w:rsidR="00346F74" w:rsidRPr="00C21A2F" w:rsidRDefault="00346F74" w:rsidP="00346F74">
      <w:pPr>
        <w:pStyle w:val="REG-Amend"/>
      </w:pPr>
      <w:r w:rsidRPr="00C21A2F">
        <w:t xml:space="preserve">These regulations were issued in terms of section 30 </w:t>
      </w:r>
      <w:r w:rsidR="00C63F22" w:rsidRPr="00C21A2F">
        <w:t xml:space="preserve">of </w:t>
      </w:r>
      <w:r w:rsidRPr="00C21A2F">
        <w:t>the Legal Practitioners</w:t>
      </w:r>
      <w:r w:rsidR="00FC4863" w:rsidRPr="00C21A2F">
        <w:t>’</w:t>
      </w:r>
      <w:r w:rsidRPr="00C21A2F">
        <w:t xml:space="preserve"> Fidelity Fund Act 22 of 1990</w:t>
      </w:r>
      <w:r w:rsidR="00C63F22" w:rsidRPr="00C21A2F">
        <w:t xml:space="preserve"> (</w:t>
      </w:r>
      <w:hyperlink r:id="rId10" w:history="1">
        <w:r w:rsidR="00502181" w:rsidRPr="00502181">
          <w:rPr>
            <w:rStyle w:val="Hyperlink"/>
            <w:lang w:val="en-ZA"/>
          </w:rPr>
          <w:t>GG 117</w:t>
        </w:r>
      </w:hyperlink>
      <w:r w:rsidR="00C63F22" w:rsidRPr="00C21A2F">
        <w:t>)</w:t>
      </w:r>
      <w:r w:rsidRPr="00C21A2F">
        <w:t xml:space="preserve">, which was repealed by the Legal Practitioners Act 15 of 1995. They </w:t>
      </w:r>
      <w:r w:rsidR="00C63F22" w:rsidRPr="00C21A2F">
        <w:t xml:space="preserve">remain in force pursuant to </w:t>
      </w:r>
      <w:r w:rsidRPr="00C21A2F">
        <w:t xml:space="preserve">section 94(4) of the Legal Practitioners Act 15 of 1995. This position is confirmed in </w:t>
      </w:r>
      <w:r w:rsidRPr="00C21A2F">
        <w:rPr>
          <w:i/>
        </w:rPr>
        <w:t>Van der Merwe v Director of the Law Society of Namibia &amp; Others</w:t>
      </w:r>
      <w:r w:rsidRPr="00C21A2F">
        <w:t xml:space="preserve"> 2013 (1) NR 98 at paragraph 26, although the case erroneously refers to GN 135/1993 instead of GN 136/1993.</w:t>
      </w:r>
    </w:p>
    <w:p w:rsidR="005955EA" w:rsidRPr="00C21A2F" w:rsidRDefault="005955EA" w:rsidP="0087487C">
      <w:pPr>
        <w:pStyle w:val="REG-H1a"/>
        <w:pBdr>
          <w:bottom w:val="single" w:sz="4" w:space="1" w:color="auto"/>
        </w:pBdr>
      </w:pPr>
    </w:p>
    <w:p w:rsidR="001121EE" w:rsidRPr="00C21A2F" w:rsidRDefault="001121EE" w:rsidP="0087487C">
      <w:pPr>
        <w:pStyle w:val="REG-H1a"/>
      </w:pPr>
    </w:p>
    <w:p w:rsidR="008938F7" w:rsidRPr="00C21A2F" w:rsidRDefault="008938F7" w:rsidP="00C36B55">
      <w:pPr>
        <w:pStyle w:val="REG-H2"/>
      </w:pPr>
      <w:r w:rsidRPr="00C21A2F">
        <w:t xml:space="preserve">ARRANGEMENT OF </w:t>
      </w:r>
      <w:r w:rsidR="00C11092" w:rsidRPr="00C21A2F">
        <w:t>REGULATIONS</w:t>
      </w:r>
    </w:p>
    <w:p w:rsidR="00C63501" w:rsidRPr="00C21A2F" w:rsidRDefault="00C63501" w:rsidP="00003730">
      <w:pPr>
        <w:pStyle w:val="REG-P0"/>
        <w:rPr>
          <w:color w:val="00B050"/>
        </w:rPr>
      </w:pPr>
    </w:p>
    <w:p w:rsidR="00694430" w:rsidRPr="00C21A2F" w:rsidRDefault="00C63F22" w:rsidP="007A7B42">
      <w:pPr>
        <w:pStyle w:val="REG-Amend"/>
      </w:pPr>
      <w:r w:rsidRPr="00C21A2F">
        <w:t>[</w:t>
      </w:r>
      <w:r w:rsidR="007A7B42" w:rsidRPr="00C21A2F">
        <w:t>The</w:t>
      </w:r>
      <w:r w:rsidRPr="00C21A2F">
        <w:t xml:space="preserve"> individual </w:t>
      </w:r>
      <w:r w:rsidR="007A7B42" w:rsidRPr="00C21A2F">
        <w:t>regulation</w:t>
      </w:r>
      <w:r w:rsidRPr="00C21A2F">
        <w:t>s have no headings.]</w:t>
      </w:r>
    </w:p>
    <w:p w:rsidR="007A7B42" w:rsidRPr="00C21A2F" w:rsidRDefault="007A7B42" w:rsidP="00694430">
      <w:pPr>
        <w:pStyle w:val="REG-P0"/>
        <w:rPr>
          <w:color w:val="00B050"/>
        </w:rPr>
      </w:pPr>
    </w:p>
    <w:p w:rsidR="007A7B42" w:rsidRPr="00C21A2F" w:rsidRDefault="007A7B42" w:rsidP="00DC218D">
      <w:pPr>
        <w:pStyle w:val="REG-P0"/>
        <w:tabs>
          <w:tab w:val="left" w:pos="1418"/>
        </w:tabs>
        <w:ind w:left="1701" w:hanging="1701"/>
        <w:rPr>
          <w:color w:val="00B050"/>
        </w:rPr>
      </w:pPr>
      <w:r w:rsidRPr="00C21A2F">
        <w:rPr>
          <w:color w:val="00B050"/>
        </w:rPr>
        <w:t>Annexure A:</w:t>
      </w:r>
      <w:r w:rsidR="00DC218D" w:rsidRPr="00C21A2F">
        <w:rPr>
          <w:color w:val="00B050"/>
        </w:rPr>
        <w:t xml:space="preserve"> </w:t>
      </w:r>
      <w:r w:rsidR="00DC218D" w:rsidRPr="00C21A2F">
        <w:rPr>
          <w:color w:val="00B050"/>
        </w:rPr>
        <w:tab/>
      </w:r>
      <w:r w:rsidRPr="00C21A2F">
        <w:rPr>
          <w:color w:val="00B050"/>
        </w:rPr>
        <w:t>Application for a fidelity fund certificate</w:t>
      </w:r>
    </w:p>
    <w:p w:rsidR="007A7B42" w:rsidRPr="00C21A2F" w:rsidRDefault="007A7B42" w:rsidP="00DC218D">
      <w:pPr>
        <w:pStyle w:val="REG-P0"/>
        <w:tabs>
          <w:tab w:val="left" w:pos="1418"/>
        </w:tabs>
        <w:ind w:left="1418" w:hanging="1418"/>
        <w:rPr>
          <w:color w:val="00B050"/>
        </w:rPr>
      </w:pPr>
      <w:r w:rsidRPr="00C21A2F">
        <w:rPr>
          <w:color w:val="00B050"/>
        </w:rPr>
        <w:t>Annexure B:</w:t>
      </w:r>
      <w:r w:rsidR="00DC218D" w:rsidRPr="00C21A2F">
        <w:rPr>
          <w:color w:val="00B050"/>
        </w:rPr>
        <w:t xml:space="preserve"> </w:t>
      </w:r>
      <w:r w:rsidR="00DC218D" w:rsidRPr="00C21A2F">
        <w:rPr>
          <w:color w:val="00B050"/>
        </w:rPr>
        <w:tab/>
      </w:r>
      <w:r w:rsidRPr="00C21A2F">
        <w:rPr>
          <w:color w:val="00B050"/>
        </w:rPr>
        <w:t xml:space="preserve">Law Society of Namibia Fidelity Fund Certificate </w:t>
      </w:r>
    </w:p>
    <w:p w:rsidR="00FA7FE6" w:rsidRPr="00C21A2F" w:rsidRDefault="00FA7FE6" w:rsidP="00B0347D">
      <w:pPr>
        <w:pStyle w:val="REG-H1a"/>
        <w:pBdr>
          <w:bottom w:val="single" w:sz="4" w:space="1" w:color="auto"/>
        </w:pBdr>
      </w:pPr>
    </w:p>
    <w:p w:rsidR="00342850" w:rsidRPr="00C21A2F" w:rsidRDefault="00342850" w:rsidP="00342850">
      <w:pPr>
        <w:pStyle w:val="REG-H1a"/>
      </w:pPr>
    </w:p>
    <w:p w:rsidR="007A7B42" w:rsidRPr="00C21A2F" w:rsidRDefault="007A7B42" w:rsidP="00AA7540">
      <w:pPr>
        <w:pStyle w:val="REG-P1"/>
      </w:pPr>
      <w:r w:rsidRPr="00C21A2F">
        <w:rPr>
          <w:b/>
        </w:rPr>
        <w:t>1.</w:t>
      </w:r>
      <w:r w:rsidRPr="00C21A2F">
        <w:t xml:space="preserve"> </w:t>
      </w:r>
      <w:r w:rsidRPr="00C21A2F">
        <w:tab/>
        <w:t>In these regulations, unless the context otherwise indicates, words and phrases shall have the meaning assigned thereto in the Act, and -</w:t>
      </w:r>
    </w:p>
    <w:p w:rsidR="007A7B42" w:rsidRPr="00C21A2F" w:rsidRDefault="007A7B42" w:rsidP="00AA7540">
      <w:pPr>
        <w:pStyle w:val="REG-P0"/>
      </w:pPr>
    </w:p>
    <w:p w:rsidR="007A7B42" w:rsidRPr="00C21A2F" w:rsidRDefault="00FC4863" w:rsidP="00AA7540">
      <w:pPr>
        <w:pStyle w:val="REG-P0"/>
      </w:pPr>
      <w:r w:rsidRPr="00C21A2F">
        <w:t>“</w:t>
      </w:r>
      <w:r w:rsidR="007A7B42" w:rsidRPr="00C21A2F">
        <w:t>board</w:t>
      </w:r>
      <w:r w:rsidRPr="00C21A2F">
        <w:t>”</w:t>
      </w:r>
      <w:r w:rsidR="007A7B42" w:rsidRPr="00C21A2F">
        <w:t xml:space="preserve"> means the board of control referred to in section </w:t>
      </w:r>
      <w:r w:rsidR="007A7B42" w:rsidRPr="00C21A2F">
        <w:rPr>
          <w:szCs w:val="23"/>
        </w:rPr>
        <w:t xml:space="preserve">4 </w:t>
      </w:r>
      <w:r w:rsidR="007A7B42" w:rsidRPr="00C21A2F">
        <w:t xml:space="preserve">of the Act; </w:t>
      </w:r>
    </w:p>
    <w:p w:rsidR="007A7B42" w:rsidRPr="00C21A2F" w:rsidRDefault="007A7B42" w:rsidP="00AA7540">
      <w:pPr>
        <w:pStyle w:val="REG-P0"/>
      </w:pPr>
    </w:p>
    <w:p w:rsidR="007A7B42" w:rsidRPr="00C21A2F" w:rsidRDefault="00FC4863" w:rsidP="00AA7540">
      <w:pPr>
        <w:pStyle w:val="REG-P0"/>
      </w:pPr>
      <w:r w:rsidRPr="00C21A2F">
        <w:t>“</w:t>
      </w:r>
      <w:r w:rsidR="007A7B42" w:rsidRPr="00C21A2F">
        <w:t>secretary</w:t>
      </w:r>
      <w:r w:rsidRPr="00C21A2F">
        <w:t>”</w:t>
      </w:r>
      <w:r w:rsidR="007A7B42" w:rsidRPr="00C21A2F">
        <w:t xml:space="preserve"> means the secretary of the society and includes any person temporarily acting in that capacity;</w:t>
      </w:r>
    </w:p>
    <w:p w:rsidR="007A7B42" w:rsidRPr="00C21A2F" w:rsidRDefault="007A7B42" w:rsidP="00AA7540">
      <w:pPr>
        <w:pStyle w:val="REG-P0"/>
      </w:pPr>
    </w:p>
    <w:p w:rsidR="007A7B42" w:rsidRPr="00C21A2F" w:rsidRDefault="00FC4863" w:rsidP="00AA7540">
      <w:pPr>
        <w:pStyle w:val="REG-P0"/>
        <w:rPr>
          <w:szCs w:val="24"/>
        </w:rPr>
      </w:pPr>
      <w:r w:rsidRPr="00C21A2F">
        <w:t>“</w:t>
      </w:r>
      <w:r w:rsidR="007A7B42" w:rsidRPr="00C21A2F">
        <w:t>the Act</w:t>
      </w:r>
      <w:r w:rsidRPr="00C21A2F">
        <w:t>”</w:t>
      </w:r>
      <w:r w:rsidR="007A7B42" w:rsidRPr="00C21A2F">
        <w:t xml:space="preserve"> means the Legal Practitioners</w:t>
      </w:r>
      <w:r w:rsidRPr="00C21A2F">
        <w:t>’</w:t>
      </w:r>
      <w:r w:rsidR="007A7B42" w:rsidRPr="00C21A2F">
        <w:t xml:space="preserve"> Fidelity Fund Act, 1990 (Act </w:t>
      </w:r>
      <w:r w:rsidR="007A7B42" w:rsidRPr="00C21A2F">
        <w:rPr>
          <w:szCs w:val="25"/>
        </w:rPr>
        <w:t xml:space="preserve">22 </w:t>
      </w:r>
      <w:r w:rsidR="007A7B42" w:rsidRPr="00C21A2F">
        <w:rPr>
          <w:szCs w:val="24"/>
        </w:rPr>
        <w:t>of 1990).</w:t>
      </w:r>
    </w:p>
    <w:p w:rsidR="007A7B42" w:rsidRPr="00C21A2F" w:rsidRDefault="007A7B42" w:rsidP="00AA7540">
      <w:pPr>
        <w:pStyle w:val="REG-P0"/>
      </w:pPr>
    </w:p>
    <w:p w:rsidR="007A7B42" w:rsidRPr="00C21A2F" w:rsidRDefault="007A7B42" w:rsidP="00AA7540">
      <w:pPr>
        <w:pStyle w:val="REG-P1"/>
      </w:pPr>
      <w:r w:rsidRPr="00C21A2F">
        <w:rPr>
          <w:b/>
          <w:szCs w:val="25"/>
        </w:rPr>
        <w:t>2.</w:t>
      </w:r>
      <w:r w:rsidRPr="00C21A2F">
        <w:rPr>
          <w:szCs w:val="25"/>
        </w:rPr>
        <w:t xml:space="preserve"> </w:t>
      </w:r>
      <w:r w:rsidRPr="00C21A2F">
        <w:rPr>
          <w:szCs w:val="25"/>
        </w:rPr>
        <w:tab/>
      </w:r>
      <w:r w:rsidRPr="00C21A2F">
        <w:t xml:space="preserve">An application for a fidelity fund certificate shall be substantially in the form as set out in Annexure </w:t>
      </w:r>
      <w:r w:rsidR="00FC4863" w:rsidRPr="00C21A2F">
        <w:t>“</w:t>
      </w:r>
      <w:r w:rsidRPr="00C21A2F">
        <w:t>A</w:t>
      </w:r>
      <w:r w:rsidR="00FC4863" w:rsidRPr="00C21A2F">
        <w:t>”</w:t>
      </w:r>
      <w:r w:rsidRPr="00C21A2F">
        <w:t>.</w:t>
      </w:r>
    </w:p>
    <w:p w:rsidR="007A7B42" w:rsidRPr="00C21A2F" w:rsidRDefault="007A7B42" w:rsidP="00AA7540">
      <w:pPr>
        <w:pStyle w:val="REG-P1"/>
      </w:pPr>
    </w:p>
    <w:p w:rsidR="007A7B42" w:rsidRPr="00C21A2F" w:rsidRDefault="007A7B42" w:rsidP="00AA7540">
      <w:pPr>
        <w:pStyle w:val="REG-P1"/>
      </w:pPr>
      <w:r w:rsidRPr="00C21A2F">
        <w:rPr>
          <w:b/>
        </w:rPr>
        <w:t>3.</w:t>
      </w:r>
      <w:r w:rsidRPr="00C21A2F">
        <w:t xml:space="preserve"> </w:t>
      </w:r>
      <w:r w:rsidRPr="00C21A2F">
        <w:tab/>
        <w:t xml:space="preserve">(1) </w:t>
      </w:r>
      <w:r w:rsidRPr="00C21A2F">
        <w:tab/>
        <w:t>In order to facilitate the annual applications of practitioners for fidelity fund certificates in terms of section 19 of the Act, the secretary shall not later than the first day of November of every year send by post or deliver or cause to be delivered to every practising attorney -</w:t>
      </w:r>
    </w:p>
    <w:p w:rsidR="007A7B42" w:rsidRPr="00C21A2F" w:rsidRDefault="007A7B42" w:rsidP="007A7B42">
      <w:pPr>
        <w:pStyle w:val="AS-P1"/>
      </w:pPr>
    </w:p>
    <w:p w:rsidR="007A7B42" w:rsidRPr="00C21A2F" w:rsidRDefault="007A7B42" w:rsidP="00AA7540">
      <w:pPr>
        <w:pStyle w:val="REG-Pa"/>
      </w:pPr>
      <w:r w:rsidRPr="00C21A2F">
        <w:t>(a)</w:t>
      </w:r>
      <w:r w:rsidRPr="00C21A2F">
        <w:tab/>
        <w:t>an application form referred to in regulation 2; and</w:t>
      </w:r>
    </w:p>
    <w:p w:rsidR="007A7B42" w:rsidRPr="00C21A2F" w:rsidRDefault="007A7B42" w:rsidP="00AA7540">
      <w:pPr>
        <w:pStyle w:val="REG-Pa"/>
        <w:rPr>
          <w:szCs w:val="20"/>
        </w:rPr>
      </w:pPr>
    </w:p>
    <w:p w:rsidR="007A7B42" w:rsidRPr="00C21A2F" w:rsidRDefault="007A7B42" w:rsidP="00AA7540">
      <w:pPr>
        <w:pStyle w:val="REG-Pa"/>
      </w:pPr>
      <w:r w:rsidRPr="00C21A2F">
        <w:t>(b)</w:t>
      </w:r>
      <w:r w:rsidRPr="00C21A2F">
        <w:tab/>
        <w:t>a statement showing the amount of the contribution, if any, which the practitioner concerned is liable to pay in accordance with the provisions of section 20 of the Act to obtain a fidelity fund certificate</w:t>
      </w:r>
      <w:r w:rsidR="00324212" w:rsidRPr="00C21A2F">
        <w:t xml:space="preserve"> in respect of the ensuing year</w:t>
      </w:r>
      <w:r w:rsidRPr="00C21A2F">
        <w:t>.</w:t>
      </w:r>
    </w:p>
    <w:p w:rsidR="007A7B42" w:rsidRPr="00C21A2F" w:rsidRDefault="007A7B42" w:rsidP="00AA7540">
      <w:pPr>
        <w:pStyle w:val="REG-P0"/>
      </w:pPr>
    </w:p>
    <w:p w:rsidR="007A7B42" w:rsidRPr="00C21A2F" w:rsidRDefault="007A7B42" w:rsidP="00AA7540">
      <w:pPr>
        <w:pStyle w:val="REG-P1"/>
        <w:rPr>
          <w:szCs w:val="23"/>
        </w:rPr>
      </w:pPr>
      <w:r w:rsidRPr="00C21A2F">
        <w:t>(2)</w:t>
      </w:r>
      <w:r w:rsidRPr="00C21A2F">
        <w:tab/>
        <w:t xml:space="preserve">Every practitioner shall return the application form, duly completed, together with the amount of the said contribution, if any, to the secretary not later than the first day of December of the year within which such application form was sent or delivered to him or her in terms of subregulation </w:t>
      </w:r>
      <w:r w:rsidRPr="00C21A2F">
        <w:rPr>
          <w:szCs w:val="23"/>
        </w:rPr>
        <w:t>(1).</w:t>
      </w:r>
    </w:p>
    <w:p w:rsidR="007A7B42" w:rsidRPr="00C21A2F" w:rsidRDefault="007A7B42" w:rsidP="00AA7540">
      <w:pPr>
        <w:pStyle w:val="REG-P1"/>
        <w:rPr>
          <w:szCs w:val="20"/>
        </w:rPr>
      </w:pPr>
    </w:p>
    <w:p w:rsidR="007A7B42" w:rsidRPr="00C21A2F" w:rsidRDefault="007A7B42" w:rsidP="00AA7540">
      <w:pPr>
        <w:pStyle w:val="REG-P1"/>
      </w:pPr>
      <w:r w:rsidRPr="00C21A2F">
        <w:t>(3)</w:t>
      </w:r>
      <w:r w:rsidRPr="00C21A2F">
        <w:tab/>
        <w:t>Subregulation (1) shall not be so construed as to exempt any practitioner, who in terms of the Act is required to obtain a fidelity fund certificate, from the obligation to apply for such a certificate in a case where such a practitioner has not received (irrespective of the reason therefor) an application form and statement pursuant to the provisions of the said subregulation.</w:t>
      </w:r>
    </w:p>
    <w:p w:rsidR="007A7B42" w:rsidRPr="00C21A2F" w:rsidRDefault="007A7B42" w:rsidP="00AA7540">
      <w:pPr>
        <w:pStyle w:val="REG-P1"/>
        <w:rPr>
          <w:szCs w:val="20"/>
        </w:rPr>
      </w:pPr>
    </w:p>
    <w:p w:rsidR="007A7B42" w:rsidRPr="00C21A2F" w:rsidRDefault="007A7B42" w:rsidP="00AA7540">
      <w:pPr>
        <w:pStyle w:val="REG-P1"/>
      </w:pPr>
      <w:r w:rsidRPr="00C21A2F">
        <w:rPr>
          <w:b/>
        </w:rPr>
        <w:t>4</w:t>
      </w:r>
      <w:r w:rsidRPr="00C21A2F">
        <w:t>.</w:t>
      </w:r>
      <w:r w:rsidRPr="00C21A2F">
        <w:tab/>
        <w:t>An application for a fidelity fund certificate may be made on behalf of a practitioner by any other practitioner who qualifies to be issued with such a certificate in terms of the Act.</w:t>
      </w:r>
    </w:p>
    <w:p w:rsidR="007A7B42" w:rsidRPr="00C21A2F" w:rsidRDefault="007A7B42" w:rsidP="00AA7540">
      <w:pPr>
        <w:pStyle w:val="REG-P1"/>
        <w:rPr>
          <w:szCs w:val="20"/>
        </w:rPr>
      </w:pPr>
    </w:p>
    <w:p w:rsidR="007A7B42" w:rsidRPr="00C21A2F" w:rsidRDefault="007A7B42" w:rsidP="00AA7540">
      <w:pPr>
        <w:pStyle w:val="REG-P1"/>
      </w:pPr>
      <w:r w:rsidRPr="00C21A2F">
        <w:rPr>
          <w:b/>
        </w:rPr>
        <w:t>5</w:t>
      </w:r>
      <w:r w:rsidRPr="00C21A2F">
        <w:t>.</w:t>
      </w:r>
      <w:r w:rsidRPr="00C21A2F">
        <w:tab/>
        <w:t>The secretary may require any applicant for a fidelity fund certificate to furnish, in addition to the information disclosed in his or her application, such further information as the secretary may consider to be relevant in relation to the applicant</w:t>
      </w:r>
      <w:r w:rsidR="00FC4863" w:rsidRPr="00C21A2F">
        <w:t>’</w:t>
      </w:r>
      <w:r w:rsidRPr="00C21A2F">
        <w:t>s application.</w:t>
      </w:r>
    </w:p>
    <w:p w:rsidR="007A7B42" w:rsidRPr="00C21A2F" w:rsidRDefault="007A7B42" w:rsidP="00AA7540">
      <w:pPr>
        <w:pStyle w:val="REG-P1"/>
        <w:rPr>
          <w:szCs w:val="20"/>
        </w:rPr>
      </w:pPr>
    </w:p>
    <w:p w:rsidR="007A7B42" w:rsidRPr="00C21A2F" w:rsidRDefault="007A7B42" w:rsidP="00AA7540">
      <w:pPr>
        <w:pStyle w:val="REG-P1"/>
      </w:pPr>
      <w:r w:rsidRPr="00C21A2F">
        <w:rPr>
          <w:b/>
        </w:rPr>
        <w:t>6</w:t>
      </w:r>
      <w:r w:rsidRPr="00C21A2F">
        <w:t>.</w:t>
      </w:r>
      <w:r w:rsidRPr="00C21A2F">
        <w:tab/>
        <w:t xml:space="preserve">A fidelity fund certificate shall be substantially in the form as set out in Annexure </w:t>
      </w:r>
      <w:r w:rsidR="00FC4863" w:rsidRPr="00C21A2F">
        <w:t>“</w:t>
      </w:r>
      <w:r w:rsidRPr="00C21A2F">
        <w:t>B</w:t>
      </w:r>
      <w:r w:rsidR="00FC4863" w:rsidRPr="00C21A2F">
        <w:t>”</w:t>
      </w:r>
      <w:r w:rsidRPr="00C21A2F">
        <w:t xml:space="preserve"> and shall be signed by the secretary.</w:t>
      </w:r>
    </w:p>
    <w:p w:rsidR="007A7B42" w:rsidRPr="00C21A2F" w:rsidRDefault="007A7B42" w:rsidP="00AA7540">
      <w:pPr>
        <w:pStyle w:val="REG-P1"/>
        <w:rPr>
          <w:szCs w:val="20"/>
        </w:rPr>
      </w:pPr>
    </w:p>
    <w:p w:rsidR="007A7B42" w:rsidRPr="00C21A2F" w:rsidRDefault="007A7B42" w:rsidP="00AA7540">
      <w:pPr>
        <w:pStyle w:val="REG-P1"/>
      </w:pPr>
      <w:r w:rsidRPr="00C21A2F">
        <w:rPr>
          <w:b/>
        </w:rPr>
        <w:t>7.</w:t>
      </w:r>
      <w:r w:rsidRPr="00C21A2F">
        <w:tab/>
        <w:t>The secretary may on application and payment of the amount of N$1 issue to any practitioner a duplicate of his or her fidelity fund certificate.</w:t>
      </w:r>
    </w:p>
    <w:p w:rsidR="007A7B42" w:rsidRPr="00C21A2F" w:rsidRDefault="007A7B42" w:rsidP="00AA7540">
      <w:pPr>
        <w:pStyle w:val="REG-P1"/>
      </w:pPr>
    </w:p>
    <w:p w:rsidR="007A7B42" w:rsidRPr="00C21A2F" w:rsidRDefault="007A7B42" w:rsidP="00AA7540">
      <w:pPr>
        <w:pStyle w:val="REG-P1"/>
      </w:pPr>
      <w:r w:rsidRPr="00C21A2F">
        <w:rPr>
          <w:b/>
        </w:rPr>
        <w:t>8.</w:t>
      </w:r>
      <w:r w:rsidRPr="00C21A2F">
        <w:tab/>
        <w:t xml:space="preserve">(1) </w:t>
      </w:r>
      <w:r w:rsidRPr="00C21A2F">
        <w:tab/>
        <w:t>The board may for the purpose of considering any claim against the fund require affidavits sworn to by the claimant or other persons in support of the claim, to be submitted to it.</w:t>
      </w:r>
    </w:p>
    <w:p w:rsidR="007A7B42" w:rsidRPr="00C21A2F" w:rsidRDefault="007A7B42" w:rsidP="00AA7540">
      <w:pPr>
        <w:pStyle w:val="REG-P1"/>
        <w:rPr>
          <w:szCs w:val="20"/>
        </w:rPr>
      </w:pPr>
    </w:p>
    <w:p w:rsidR="007A7B42" w:rsidRPr="00C21A2F" w:rsidRDefault="007A7B42" w:rsidP="00AA7540">
      <w:pPr>
        <w:pStyle w:val="REG-P1"/>
      </w:pPr>
      <w:r w:rsidRPr="00C21A2F">
        <w:rPr>
          <w:b/>
        </w:rPr>
        <w:t>9.</w:t>
      </w:r>
      <w:r w:rsidRPr="00C21A2F">
        <w:tab/>
        <w:t xml:space="preserve">(1) </w:t>
      </w:r>
      <w:r w:rsidRPr="00C21A2F">
        <w:tab/>
        <w:t>The board or any committee of the board may by notice summon any person (including the claimant) who in its opinion may be able to furnish it with information regarding any claim submitted against the fund, or who it suspects has any book or document relating to the claim in his or her possession or under his or her control, to appear before it at the time and the place specified in the notice to be questioned or to produce such book or document.</w:t>
      </w:r>
    </w:p>
    <w:p w:rsidR="007A7B42" w:rsidRPr="00C21A2F" w:rsidRDefault="007A7B42" w:rsidP="00AA7540">
      <w:pPr>
        <w:pStyle w:val="REG-P1"/>
        <w:rPr>
          <w:szCs w:val="20"/>
        </w:rPr>
      </w:pPr>
    </w:p>
    <w:p w:rsidR="007A7B42" w:rsidRPr="00C21A2F" w:rsidRDefault="007A7B42" w:rsidP="00AA7540">
      <w:pPr>
        <w:pStyle w:val="REG-P1"/>
      </w:pPr>
      <w:r w:rsidRPr="00C21A2F">
        <w:t>(2)</w:t>
      </w:r>
      <w:r w:rsidRPr="00C21A2F">
        <w:tab/>
        <w:t>A notice referred to in subregulation (1) shall be signed by any two members of the board and shall be served in a manner prescribed for the service of a subpoena issued in terms of the Rules of the High Court.</w:t>
      </w:r>
    </w:p>
    <w:p w:rsidR="007A7B42" w:rsidRPr="00C21A2F" w:rsidRDefault="007A7B42" w:rsidP="00AA7540">
      <w:pPr>
        <w:pStyle w:val="REG-P1"/>
        <w:rPr>
          <w:szCs w:val="20"/>
        </w:rPr>
      </w:pPr>
    </w:p>
    <w:p w:rsidR="007A7B42" w:rsidRPr="00C21A2F" w:rsidRDefault="007A7B42" w:rsidP="00AA7540">
      <w:pPr>
        <w:pStyle w:val="REG-P1"/>
      </w:pPr>
      <w:r w:rsidRPr="00C21A2F">
        <w:t>(3)</w:t>
      </w:r>
      <w:r w:rsidRPr="00C21A2F">
        <w:tab/>
        <w:t>The person presiding at the meeting of the board or committee may administer an oath or accept an affirmation from any person appearing before the board or committee.</w:t>
      </w:r>
    </w:p>
    <w:p w:rsidR="007A7B42" w:rsidRPr="00C21A2F" w:rsidRDefault="007A7B42" w:rsidP="00AA7540">
      <w:pPr>
        <w:pStyle w:val="REG-P1"/>
        <w:rPr>
          <w:szCs w:val="20"/>
        </w:rPr>
      </w:pPr>
    </w:p>
    <w:p w:rsidR="007A7B42" w:rsidRPr="00C21A2F" w:rsidRDefault="007A7B42" w:rsidP="00AA7540">
      <w:pPr>
        <w:pStyle w:val="REG-P1"/>
      </w:pPr>
      <w:r w:rsidRPr="00C21A2F">
        <w:t>(4)</w:t>
      </w:r>
      <w:r w:rsidRPr="00C21A2F">
        <w:tab/>
        <w:t>In any proceedings before the board or a committee for the questioning of any person appearing before it the rules of law relating to privilege as applicable to a witness subpoenaed to give evidence or to produce a book or document before a court of law, shall apply.</w:t>
      </w:r>
    </w:p>
    <w:p w:rsidR="007A7B42" w:rsidRPr="00C21A2F" w:rsidRDefault="007A7B42" w:rsidP="00AA7540">
      <w:pPr>
        <w:pStyle w:val="REG-P1"/>
        <w:rPr>
          <w:szCs w:val="20"/>
        </w:rPr>
      </w:pPr>
    </w:p>
    <w:p w:rsidR="007A7B42" w:rsidRPr="00C21A2F" w:rsidRDefault="007A7B42" w:rsidP="00AA7540">
      <w:pPr>
        <w:pStyle w:val="REG-P1"/>
      </w:pPr>
      <w:r w:rsidRPr="00C21A2F">
        <w:t>(5)</w:t>
      </w:r>
      <w:r w:rsidRPr="00C21A2F">
        <w:tab/>
        <w:t>Any person appearing before the board or a committee may be examined by any member thereof or an advocate or attorney appointed by the board or such committee for that purpose.</w:t>
      </w:r>
    </w:p>
    <w:p w:rsidR="007A7B42" w:rsidRPr="00C21A2F" w:rsidRDefault="007A7B42" w:rsidP="00AA7540">
      <w:pPr>
        <w:pStyle w:val="REG-P1"/>
        <w:rPr>
          <w:szCs w:val="20"/>
        </w:rPr>
      </w:pPr>
    </w:p>
    <w:p w:rsidR="007A7B42" w:rsidRPr="00C21A2F" w:rsidRDefault="007A7B42" w:rsidP="00AA7540">
      <w:pPr>
        <w:pStyle w:val="REG-P1"/>
      </w:pPr>
      <w:r w:rsidRPr="00C21A2F">
        <w:t>(6)</w:t>
      </w:r>
      <w:r w:rsidRPr="00C21A2F">
        <w:tab/>
        <w:t>The evidence given by a person before the board or a committee shall be recorded in writing, typescript or shorthand or by mechanical means and the person recording such evidence shall, before doing so, make an oath that he or she will truly and faithfully record such evidence.</w:t>
      </w:r>
    </w:p>
    <w:p w:rsidR="007A7B42" w:rsidRPr="00C21A2F" w:rsidRDefault="007A7B42" w:rsidP="00AA7540">
      <w:pPr>
        <w:pStyle w:val="REG-P1"/>
        <w:rPr>
          <w:szCs w:val="20"/>
        </w:rPr>
      </w:pPr>
    </w:p>
    <w:p w:rsidR="007A7B42" w:rsidRPr="00C21A2F" w:rsidRDefault="007A7B42" w:rsidP="00AA7540">
      <w:pPr>
        <w:pStyle w:val="REG-P1"/>
      </w:pPr>
      <w:r w:rsidRPr="00C21A2F">
        <w:rPr>
          <w:b/>
        </w:rPr>
        <w:t>10.</w:t>
      </w:r>
      <w:r w:rsidRPr="00C21A2F">
        <w:tab/>
        <w:t>The board may appoint such persons as it may deem necessary to assist it in the performance of its functions and determine their conditions of employment, including conditions as to remuneration and other benefits.</w:t>
      </w:r>
    </w:p>
    <w:p w:rsidR="007A7B42" w:rsidRPr="00C21A2F" w:rsidRDefault="007A7B42" w:rsidP="00AA7540">
      <w:pPr>
        <w:pStyle w:val="REG-P1"/>
        <w:rPr>
          <w:szCs w:val="20"/>
        </w:rPr>
      </w:pPr>
    </w:p>
    <w:p w:rsidR="007A7B42" w:rsidRPr="00C21A2F" w:rsidRDefault="007A7B42" w:rsidP="00AA7540">
      <w:pPr>
        <w:pStyle w:val="REG-P1"/>
      </w:pPr>
      <w:r w:rsidRPr="00C21A2F">
        <w:rPr>
          <w:b/>
        </w:rPr>
        <w:t>11.</w:t>
      </w:r>
      <w:r w:rsidRPr="00C21A2F">
        <w:tab/>
        <w:t xml:space="preserve">(1) </w:t>
      </w:r>
      <w:r w:rsidRPr="00C21A2F">
        <w:tab/>
        <w:t>The board may establish offices at such place or places as it may deem necessary.</w:t>
      </w:r>
    </w:p>
    <w:p w:rsidR="007A7B42" w:rsidRPr="00C21A2F" w:rsidRDefault="007A7B42" w:rsidP="00AA7540">
      <w:pPr>
        <w:pStyle w:val="REG-P1"/>
        <w:rPr>
          <w:szCs w:val="20"/>
        </w:rPr>
      </w:pPr>
    </w:p>
    <w:p w:rsidR="007A7B42" w:rsidRPr="00C21A2F" w:rsidRDefault="007A7B42" w:rsidP="00AA7540">
      <w:pPr>
        <w:pStyle w:val="REG-P1"/>
      </w:pPr>
      <w:r w:rsidRPr="00C21A2F">
        <w:t xml:space="preserve">(2) </w:t>
      </w:r>
      <w:r w:rsidRPr="00C21A2F">
        <w:tab/>
        <w:t>The office of the secretary for the time being of the board shall be the office of the board.</w:t>
      </w:r>
    </w:p>
    <w:p w:rsidR="007A7B42" w:rsidRPr="00C21A2F" w:rsidRDefault="007A7B42" w:rsidP="00AA7540">
      <w:pPr>
        <w:pStyle w:val="REG-P1"/>
        <w:rPr>
          <w:szCs w:val="20"/>
        </w:rPr>
      </w:pPr>
    </w:p>
    <w:p w:rsidR="007A7B42" w:rsidRPr="00C21A2F" w:rsidRDefault="007A7B42" w:rsidP="00AA7540">
      <w:pPr>
        <w:pStyle w:val="REG-P1"/>
      </w:pPr>
      <w:r w:rsidRPr="00C21A2F">
        <w:rPr>
          <w:b/>
        </w:rPr>
        <w:t>12.</w:t>
      </w:r>
      <w:r w:rsidRPr="00C21A2F">
        <w:tab/>
        <w:t>All agreements, deeds and documents, including documents requiring signature in legal actions or proceedings by or against the board, and all drafts, cheques or orders drawn on banks or building societies against any account of</w:t>
      </w:r>
      <w:r w:rsidR="00A44378" w:rsidRPr="00C21A2F">
        <w:t xml:space="preserve"> </w:t>
      </w:r>
      <w:r w:rsidRPr="00C21A2F">
        <w:t>the board in any bank or building society, shall be signed by any two members of the board or by any member of the board and countersigned by the secretary or treasurer of the board and all cheques, drafts or orders made payable to the board may be endorsed by the secretary or treasurer of the board for credit of a banking account of the board.</w:t>
      </w:r>
    </w:p>
    <w:p w:rsidR="007A7B42" w:rsidRPr="00C21A2F" w:rsidRDefault="007A7B42" w:rsidP="00AA7540">
      <w:pPr>
        <w:pStyle w:val="REG-P1"/>
      </w:pPr>
    </w:p>
    <w:p w:rsidR="007A7B42" w:rsidRPr="00C21A2F" w:rsidRDefault="007A7B42" w:rsidP="00AA7540">
      <w:pPr>
        <w:pStyle w:val="REG-P1"/>
      </w:pPr>
      <w:r w:rsidRPr="00C21A2F">
        <w:rPr>
          <w:b/>
        </w:rPr>
        <w:t>13.</w:t>
      </w:r>
      <w:r w:rsidRPr="00C21A2F">
        <w:tab/>
        <w:t>Government Notice R.1581 of 1941 and all amendments thereof, are hereby repealed.</w:t>
      </w:r>
    </w:p>
    <w:p w:rsidR="00A2233A" w:rsidRPr="00C21A2F" w:rsidRDefault="00A2233A" w:rsidP="007A7B42">
      <w:pPr>
        <w:pStyle w:val="AS-P1"/>
      </w:pPr>
    </w:p>
    <w:p w:rsidR="00A2233A" w:rsidRPr="00C21A2F" w:rsidRDefault="00A2233A" w:rsidP="00A2233A">
      <w:pPr>
        <w:pStyle w:val="REG-Amend"/>
      </w:pPr>
      <w:r w:rsidRPr="00C21A2F">
        <w:t>[These previous regulations</w:t>
      </w:r>
      <w:r w:rsidR="001309F6" w:rsidRPr="00C21A2F">
        <w:t>,</w:t>
      </w:r>
      <w:r w:rsidRPr="00C21A2F">
        <w:t xml:space="preserve"> </w:t>
      </w:r>
      <w:r w:rsidR="001309F6" w:rsidRPr="00C21A2F">
        <w:t xml:space="preserve">which were </w:t>
      </w:r>
      <w:r w:rsidRPr="00C21A2F">
        <w:t xml:space="preserve">issued in terms of the </w:t>
      </w:r>
      <w:r w:rsidR="001309F6" w:rsidRPr="00C21A2F">
        <w:t>SA Attorneys</w:t>
      </w:r>
      <w:r w:rsidR="00FC4863" w:rsidRPr="00C21A2F">
        <w:t>’</w:t>
      </w:r>
      <w:r w:rsidR="001309F6" w:rsidRPr="00C21A2F">
        <w:t xml:space="preserve"> Admission Amendment and Legal Practitioners</w:t>
      </w:r>
      <w:r w:rsidR="00FC4863" w:rsidRPr="00C21A2F">
        <w:t>’</w:t>
      </w:r>
      <w:r w:rsidR="001309F6" w:rsidRPr="00C21A2F">
        <w:t xml:space="preserve"> Fidelity Fund Act 19 of 1941, </w:t>
      </w:r>
      <w:r w:rsidRPr="00C21A2F">
        <w:t>are contained in SA GG 2960</w:t>
      </w:r>
      <w:r w:rsidR="001309F6" w:rsidRPr="00C21A2F">
        <w:t>.]</w:t>
      </w:r>
    </w:p>
    <w:p w:rsidR="001309F6" w:rsidRPr="00C21A2F" w:rsidRDefault="001309F6" w:rsidP="001B3D40">
      <w:pPr>
        <w:pStyle w:val="REG-H1a"/>
        <w:rPr>
          <w:sz w:val="22"/>
          <w:szCs w:val="22"/>
        </w:rPr>
      </w:pPr>
    </w:p>
    <w:p w:rsidR="00A2233A" w:rsidRPr="00C21A2F" w:rsidRDefault="00A2233A" w:rsidP="00A2233A">
      <w:pPr>
        <w:pStyle w:val="REG-H1a"/>
        <w:pBdr>
          <w:top w:val="single" w:sz="4" w:space="1" w:color="auto"/>
        </w:pBdr>
        <w:rPr>
          <w:sz w:val="24"/>
        </w:rPr>
      </w:pPr>
    </w:p>
    <w:p w:rsidR="001B3D40" w:rsidRPr="00C21A2F" w:rsidRDefault="001B3D40" w:rsidP="006734AB">
      <w:pPr>
        <w:pStyle w:val="REG-H3A"/>
        <w:rPr>
          <w:color w:val="00B050"/>
        </w:rPr>
      </w:pPr>
      <w:r w:rsidRPr="00C21A2F">
        <w:rPr>
          <w:color w:val="00B050"/>
        </w:rPr>
        <w:t>ANNEXURES</w:t>
      </w:r>
    </w:p>
    <w:p w:rsidR="001B3D40" w:rsidRPr="00C21A2F" w:rsidRDefault="001B3D40" w:rsidP="0001088D">
      <w:pPr>
        <w:pStyle w:val="REG-Amend"/>
        <w:rPr>
          <w:sz w:val="12"/>
        </w:rPr>
      </w:pPr>
    </w:p>
    <w:p w:rsidR="00A83578" w:rsidRPr="00C21A2F" w:rsidRDefault="00A83578" w:rsidP="0001088D">
      <w:pPr>
        <w:pStyle w:val="REG-Amend"/>
      </w:pPr>
      <w:r w:rsidRPr="00C21A2F">
        <w:t>To view content without printing, scroll down.</w:t>
      </w:r>
    </w:p>
    <w:p w:rsidR="00A2233A" w:rsidRPr="00C21A2F" w:rsidRDefault="00A2233A" w:rsidP="0001088D">
      <w:pPr>
        <w:pStyle w:val="REG-Amend"/>
        <w:rPr>
          <w:sz w:val="14"/>
        </w:rPr>
      </w:pPr>
    </w:p>
    <w:p w:rsidR="00A83578" w:rsidRPr="00C21A2F" w:rsidRDefault="00A83578" w:rsidP="0001088D">
      <w:pPr>
        <w:pStyle w:val="REG-Amend"/>
      </w:pPr>
      <w:r w:rsidRPr="00C21A2F">
        <w:t>To print at full scale (A4), double-click the icon below.</w:t>
      </w:r>
    </w:p>
    <w:p w:rsidR="00A83578" w:rsidRPr="00C21A2F" w:rsidRDefault="00A83578" w:rsidP="009E44CD">
      <w:pPr>
        <w:pStyle w:val="REG-Amend"/>
      </w:pPr>
    </w:p>
    <w:p w:rsidR="009E44CD" w:rsidRPr="00C21A2F" w:rsidRDefault="009E44CD" w:rsidP="009E44CD">
      <w:pPr>
        <w:pStyle w:val="REG-P0"/>
        <w:jc w:val="center"/>
      </w:pPr>
      <w:r w:rsidRPr="00C21A2F">
        <w:object w:dxaOrig="1536"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5pt;height:50.1pt" o:ole="">
            <v:imagedata r:id="rId11" o:title=""/>
          </v:shape>
          <o:OLEObject Type="Embed" ProgID="Acrobat.Document.DC" ShapeID="_x0000_i1025" DrawAspect="Icon" ObjectID="_1715684497" r:id="rId12"/>
        </w:object>
      </w:r>
    </w:p>
    <w:p w:rsidR="00F47E8A" w:rsidRPr="00C21A2F" w:rsidRDefault="00F47E8A" w:rsidP="00CF6B09">
      <w:pPr>
        <w:pStyle w:val="REG-H1a"/>
        <w:pBdr>
          <w:bottom w:val="single" w:sz="4" w:space="1" w:color="auto"/>
        </w:pBdr>
        <w:rPr>
          <w:sz w:val="24"/>
        </w:rPr>
      </w:pPr>
    </w:p>
    <w:p w:rsidR="00B12C91" w:rsidRPr="00C21A2F" w:rsidRDefault="00A3088C" w:rsidP="00203302">
      <w:pPr>
        <w:pStyle w:val="REG-P0"/>
        <w:jc w:val="left"/>
      </w:pPr>
      <w:r w:rsidRPr="00C21A2F">
        <w:rPr>
          <w:lang w:val="en-ZA" w:eastAsia="en-ZA"/>
        </w:rPr>
        <w:drawing>
          <wp:inline distT="0" distB="0" distL="0" distR="0">
            <wp:extent cx="5396230" cy="7043420"/>
            <wp:effectExtent l="19050" t="0" r="0" b="0"/>
            <wp:docPr id="1" name="Picture 0" descr="Acrobat Document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bat Document_Page_1.png"/>
                    <pic:cNvPicPr/>
                  </pic:nvPicPr>
                  <pic:blipFill>
                    <a:blip r:embed="rId13"/>
                    <a:stretch>
                      <a:fillRect/>
                    </a:stretch>
                  </pic:blipFill>
                  <pic:spPr>
                    <a:xfrm>
                      <a:off x="0" y="0"/>
                      <a:ext cx="5396230" cy="7043420"/>
                    </a:xfrm>
                    <a:prstGeom prst="rect">
                      <a:avLst/>
                    </a:prstGeom>
                  </pic:spPr>
                </pic:pic>
              </a:graphicData>
            </a:graphic>
          </wp:inline>
        </w:drawing>
      </w:r>
      <w:r w:rsidRPr="00C21A2F">
        <w:rPr>
          <w:lang w:val="en-ZA" w:eastAsia="en-ZA"/>
        </w:rPr>
        <w:drawing>
          <wp:inline distT="0" distB="0" distL="0" distR="0">
            <wp:extent cx="5396230" cy="7043420"/>
            <wp:effectExtent l="19050" t="0" r="0" b="0"/>
            <wp:docPr id="2" name="Picture 1" descr="Acrobat Document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bat Document_Page_2.png"/>
                    <pic:cNvPicPr/>
                  </pic:nvPicPr>
                  <pic:blipFill>
                    <a:blip r:embed="rId14"/>
                    <a:stretch>
                      <a:fillRect/>
                    </a:stretch>
                  </pic:blipFill>
                  <pic:spPr>
                    <a:xfrm>
                      <a:off x="0" y="0"/>
                      <a:ext cx="5396230" cy="7043420"/>
                    </a:xfrm>
                    <a:prstGeom prst="rect">
                      <a:avLst/>
                    </a:prstGeom>
                  </pic:spPr>
                </pic:pic>
              </a:graphicData>
            </a:graphic>
          </wp:inline>
        </w:drawing>
      </w:r>
      <w:r w:rsidRPr="00C21A2F">
        <w:rPr>
          <w:lang w:val="en-ZA" w:eastAsia="en-ZA"/>
        </w:rPr>
        <w:drawing>
          <wp:inline distT="0" distB="0" distL="0" distR="0">
            <wp:extent cx="5396230" cy="7043420"/>
            <wp:effectExtent l="19050" t="0" r="0" b="0"/>
            <wp:docPr id="4" name="Picture 3" descr="Acrobat Document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bat Document_Page_3.png"/>
                    <pic:cNvPicPr/>
                  </pic:nvPicPr>
                  <pic:blipFill>
                    <a:blip r:embed="rId15"/>
                    <a:stretch>
                      <a:fillRect/>
                    </a:stretch>
                  </pic:blipFill>
                  <pic:spPr>
                    <a:xfrm>
                      <a:off x="0" y="0"/>
                      <a:ext cx="5396230" cy="7043420"/>
                    </a:xfrm>
                    <a:prstGeom prst="rect">
                      <a:avLst/>
                    </a:prstGeom>
                  </pic:spPr>
                </pic:pic>
              </a:graphicData>
            </a:graphic>
          </wp:inline>
        </w:drawing>
      </w:r>
    </w:p>
    <w:p w:rsidR="007C4355" w:rsidRPr="00C21A2F" w:rsidRDefault="007C4355" w:rsidP="00B12C91">
      <w:pPr>
        <w:pStyle w:val="REG-P0"/>
      </w:pPr>
    </w:p>
    <w:sectPr w:rsidR="007C4355" w:rsidRPr="00C21A2F" w:rsidSect="00CE101E">
      <w:headerReference w:type="default" r:id="rId16"/>
      <w:headerReference w:type="first" r:id="rId17"/>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295" w:rsidRDefault="00A87295">
      <w:r>
        <w:separator/>
      </w:r>
    </w:p>
  </w:endnote>
  <w:endnote w:type="continuationSeparator" w:id="0">
    <w:p w:rsidR="00A87295" w:rsidRDefault="00A8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295" w:rsidRDefault="00A87295">
      <w:r>
        <w:separator/>
      </w:r>
    </w:p>
  </w:footnote>
  <w:footnote w:type="continuationSeparator" w:id="0">
    <w:p w:rsidR="00A87295" w:rsidRDefault="00A87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FC4863" w:rsidRDefault="00A87295" w:rsidP="00FC33A9">
    <w:pPr>
      <w:spacing w:after="120"/>
      <w:jc w:val="center"/>
      <w:rPr>
        <w:rFonts w:ascii="Arial" w:hAnsi="Arial" w:cs="Arial"/>
        <w:sz w:val="16"/>
        <w:szCs w:val="16"/>
      </w:rPr>
    </w:pPr>
    <w:r>
      <w:rPr>
        <w:rFonts w:ascii="Arial" w:hAnsi="Arial" w:cs="Arial"/>
        <w:sz w:val="12"/>
        <w:szCs w:val="16"/>
      </w:rPr>
      <w:pict>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0B4FB6" w:rsidRPr="00FC4863">
      <w:rPr>
        <w:rFonts w:ascii="Arial" w:hAnsi="Arial" w:cs="Arial"/>
        <w:sz w:val="12"/>
        <w:szCs w:val="16"/>
      </w:rPr>
      <w:t>Republic of Namibia</w:t>
    </w:r>
    <w:r w:rsidR="00BF0042" w:rsidRPr="00FC4863">
      <w:rPr>
        <w:rFonts w:ascii="Arial" w:hAnsi="Arial" w:cs="Arial"/>
        <w:w w:val="600"/>
        <w:sz w:val="12"/>
        <w:szCs w:val="16"/>
      </w:rPr>
      <w:t xml:space="preserve"> </w:t>
    </w:r>
    <w:r w:rsidR="00E80FB4" w:rsidRPr="00FC4863">
      <w:rPr>
        <w:rFonts w:ascii="Arial" w:hAnsi="Arial" w:cs="Arial"/>
        <w:b/>
        <w:noProof w:val="0"/>
        <w:sz w:val="16"/>
        <w:szCs w:val="16"/>
      </w:rPr>
      <w:fldChar w:fldCharType="begin"/>
    </w:r>
    <w:r w:rsidR="00BF0042" w:rsidRPr="00FC4863">
      <w:rPr>
        <w:rFonts w:ascii="Arial" w:hAnsi="Arial" w:cs="Arial"/>
        <w:b/>
        <w:sz w:val="16"/>
        <w:szCs w:val="16"/>
      </w:rPr>
      <w:instrText xml:space="preserve"> PAGE   \* MERGEFORMAT </w:instrText>
    </w:r>
    <w:r w:rsidR="00E80FB4" w:rsidRPr="00FC4863">
      <w:rPr>
        <w:rFonts w:ascii="Arial" w:hAnsi="Arial" w:cs="Arial"/>
        <w:b/>
        <w:noProof w:val="0"/>
        <w:sz w:val="16"/>
        <w:szCs w:val="16"/>
      </w:rPr>
      <w:fldChar w:fldCharType="separate"/>
    </w:r>
    <w:r w:rsidR="00502181">
      <w:rPr>
        <w:rFonts w:ascii="Arial" w:hAnsi="Arial" w:cs="Arial"/>
        <w:b/>
        <w:sz w:val="16"/>
        <w:szCs w:val="16"/>
      </w:rPr>
      <w:t>6</w:t>
    </w:r>
    <w:r w:rsidR="00E80FB4" w:rsidRPr="00FC4863">
      <w:rPr>
        <w:rFonts w:ascii="Arial" w:hAnsi="Arial" w:cs="Arial"/>
        <w:b/>
        <w:sz w:val="16"/>
        <w:szCs w:val="16"/>
      </w:rPr>
      <w:fldChar w:fldCharType="end"/>
    </w:r>
    <w:r w:rsidR="00BF0042" w:rsidRPr="00FC4863">
      <w:rPr>
        <w:rFonts w:ascii="Arial" w:hAnsi="Arial" w:cs="Arial"/>
        <w:w w:val="600"/>
        <w:sz w:val="12"/>
        <w:szCs w:val="16"/>
      </w:rPr>
      <w:t xml:space="preserve"> </w:t>
    </w:r>
    <w:r w:rsidR="000B4FB6" w:rsidRPr="00FC4863">
      <w:rPr>
        <w:rFonts w:ascii="Arial" w:hAnsi="Arial" w:cs="Arial"/>
        <w:sz w:val="12"/>
        <w:szCs w:val="16"/>
      </w:rPr>
      <w:t>Annotated Statutes</w:t>
    </w:r>
    <w:r w:rsidR="00BF0042" w:rsidRPr="00FC4863">
      <w:rPr>
        <w:rFonts w:ascii="Arial" w:hAnsi="Arial" w:cs="Arial"/>
        <w:b/>
        <w:sz w:val="16"/>
        <w:szCs w:val="16"/>
      </w:rPr>
      <w:t xml:space="preserve"> </w:t>
    </w:r>
  </w:p>
  <w:p w:rsidR="00CC205C" w:rsidRPr="00FC4863" w:rsidRDefault="00B21824" w:rsidP="00F25922">
    <w:pPr>
      <w:pStyle w:val="REG-PHA"/>
    </w:pPr>
    <w:r w:rsidRPr="00FC4863">
      <w:t>REGULATIONS</w:t>
    </w:r>
  </w:p>
  <w:p w:rsidR="00BF0042" w:rsidRPr="00FC4863" w:rsidRDefault="007A7B42" w:rsidP="00FC4863">
    <w:pPr>
      <w:pStyle w:val="REG-PHb"/>
      <w:spacing w:after="120"/>
    </w:pPr>
    <w:r w:rsidRPr="00FC4863">
      <w:t>Legal Practitioners</w:t>
    </w:r>
    <w:r w:rsidR="00FC4863">
      <w:t>’</w:t>
    </w:r>
    <w:r w:rsidRPr="00FC4863">
      <w:t xml:space="preserve"> Fidelity Fund Act 22 of 1990</w:t>
    </w:r>
  </w:p>
  <w:p w:rsidR="00BF5B36" w:rsidRPr="00FC4863" w:rsidRDefault="007A7B42" w:rsidP="00F25922">
    <w:pPr>
      <w:pStyle w:val="REG-PHb"/>
    </w:pPr>
    <w:r w:rsidRPr="00FC4863">
      <w:t>Regulations under the Legal Practitioners</w:t>
    </w:r>
    <w:r w:rsidR="00FC4863">
      <w:t>’</w:t>
    </w:r>
    <w:r w:rsidRPr="00FC4863">
      <w:t xml:space="preserve"> Fidelity Fund Act, 1990</w:t>
    </w:r>
  </w:p>
  <w:p w:rsidR="00BF0042" w:rsidRPr="00FC4863" w:rsidRDefault="00BF0042"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BA6B35" w:rsidRDefault="00A87295" w:rsidP="00CE101E">
    <w:pPr>
      <w:rPr>
        <w:sz w:val="8"/>
        <w:szCs w:val="16"/>
      </w:rPr>
    </w:pPr>
    <w:r>
      <w:rPr>
        <w:sz w:val="8"/>
        <w:szCs w:val="16"/>
      </w:rPr>
      <w:pict>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59A120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A9C68F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90411A2"/>
    <w:multiLevelType w:val="hybridMultilevel"/>
    <w:tmpl w:val="7444C01A"/>
    <w:lvl w:ilvl="0" w:tplc="245405DE">
      <w:start w:val="3"/>
      <w:numFmt w:val="decimal"/>
      <w:lvlText w:val="%1."/>
      <w:lvlJc w:val="left"/>
      <w:pPr>
        <w:ind w:hanging="298"/>
        <w:jc w:val="right"/>
      </w:pPr>
      <w:rPr>
        <w:rFonts w:ascii="Times New Roman" w:eastAsia="Times New Roman" w:hAnsi="Times New Roman" w:hint="default"/>
        <w:w w:val="98"/>
        <w:sz w:val="24"/>
        <w:szCs w:val="24"/>
      </w:rPr>
    </w:lvl>
    <w:lvl w:ilvl="1" w:tplc="610A1FDC">
      <w:start w:val="1"/>
      <w:numFmt w:val="bullet"/>
      <w:lvlText w:val="•"/>
      <w:lvlJc w:val="left"/>
      <w:rPr>
        <w:rFonts w:hint="default"/>
      </w:rPr>
    </w:lvl>
    <w:lvl w:ilvl="2" w:tplc="B4F256E6">
      <w:start w:val="1"/>
      <w:numFmt w:val="bullet"/>
      <w:lvlText w:val="•"/>
      <w:lvlJc w:val="left"/>
      <w:rPr>
        <w:rFonts w:hint="default"/>
      </w:rPr>
    </w:lvl>
    <w:lvl w:ilvl="3" w:tplc="3F4A7F12">
      <w:start w:val="1"/>
      <w:numFmt w:val="bullet"/>
      <w:lvlText w:val="•"/>
      <w:lvlJc w:val="left"/>
      <w:rPr>
        <w:rFonts w:hint="default"/>
      </w:rPr>
    </w:lvl>
    <w:lvl w:ilvl="4" w:tplc="4950D300">
      <w:start w:val="1"/>
      <w:numFmt w:val="bullet"/>
      <w:lvlText w:val="•"/>
      <w:lvlJc w:val="left"/>
      <w:rPr>
        <w:rFonts w:hint="default"/>
      </w:rPr>
    </w:lvl>
    <w:lvl w:ilvl="5" w:tplc="50564452">
      <w:start w:val="1"/>
      <w:numFmt w:val="bullet"/>
      <w:lvlText w:val="•"/>
      <w:lvlJc w:val="left"/>
      <w:rPr>
        <w:rFonts w:hint="default"/>
      </w:rPr>
    </w:lvl>
    <w:lvl w:ilvl="6" w:tplc="732E3E0C">
      <w:start w:val="1"/>
      <w:numFmt w:val="bullet"/>
      <w:lvlText w:val="•"/>
      <w:lvlJc w:val="left"/>
      <w:rPr>
        <w:rFonts w:hint="default"/>
      </w:rPr>
    </w:lvl>
    <w:lvl w:ilvl="7" w:tplc="9BA2021A">
      <w:start w:val="1"/>
      <w:numFmt w:val="bullet"/>
      <w:lvlText w:val="•"/>
      <w:lvlJc w:val="left"/>
      <w:rPr>
        <w:rFonts w:hint="default"/>
      </w:rPr>
    </w:lvl>
    <w:lvl w:ilvl="8" w:tplc="FFE8F678">
      <w:start w:val="1"/>
      <w:numFmt w:val="bullet"/>
      <w:lvlText w:val="•"/>
      <w:lvlJc w:val="left"/>
      <w:rPr>
        <w:rFonts w:hint="default"/>
      </w:rPr>
    </w:lvl>
  </w:abstractNum>
  <w:abstractNum w:abstractNumId="4" w15:restartNumberingAfterBreak="0">
    <w:nsid w:val="09B756A1"/>
    <w:multiLevelType w:val="hybridMultilevel"/>
    <w:tmpl w:val="2776354C"/>
    <w:lvl w:ilvl="0" w:tplc="F58481CA">
      <w:start w:val="1"/>
      <w:numFmt w:val="lowerLetter"/>
      <w:lvlText w:val="(%1)"/>
      <w:lvlJc w:val="left"/>
      <w:pPr>
        <w:ind w:hanging="399"/>
        <w:jc w:val="left"/>
      </w:pPr>
      <w:rPr>
        <w:rFonts w:ascii="Times New Roman" w:eastAsia="Times New Roman" w:hAnsi="Times New Roman" w:hint="default"/>
        <w:w w:val="103"/>
        <w:sz w:val="24"/>
        <w:szCs w:val="24"/>
      </w:rPr>
    </w:lvl>
    <w:lvl w:ilvl="1" w:tplc="9E0E27AE">
      <w:start w:val="1"/>
      <w:numFmt w:val="bullet"/>
      <w:lvlText w:val="•"/>
      <w:lvlJc w:val="left"/>
      <w:rPr>
        <w:rFonts w:hint="default"/>
      </w:rPr>
    </w:lvl>
    <w:lvl w:ilvl="2" w:tplc="B19AEF16">
      <w:start w:val="1"/>
      <w:numFmt w:val="bullet"/>
      <w:lvlText w:val="•"/>
      <w:lvlJc w:val="left"/>
      <w:rPr>
        <w:rFonts w:hint="default"/>
      </w:rPr>
    </w:lvl>
    <w:lvl w:ilvl="3" w:tplc="D76E4518">
      <w:start w:val="1"/>
      <w:numFmt w:val="bullet"/>
      <w:lvlText w:val="•"/>
      <w:lvlJc w:val="left"/>
      <w:rPr>
        <w:rFonts w:hint="default"/>
      </w:rPr>
    </w:lvl>
    <w:lvl w:ilvl="4" w:tplc="FD345DD6">
      <w:start w:val="1"/>
      <w:numFmt w:val="bullet"/>
      <w:lvlText w:val="•"/>
      <w:lvlJc w:val="left"/>
      <w:rPr>
        <w:rFonts w:hint="default"/>
      </w:rPr>
    </w:lvl>
    <w:lvl w:ilvl="5" w:tplc="4D54179A">
      <w:start w:val="1"/>
      <w:numFmt w:val="bullet"/>
      <w:lvlText w:val="•"/>
      <w:lvlJc w:val="left"/>
      <w:rPr>
        <w:rFonts w:hint="default"/>
      </w:rPr>
    </w:lvl>
    <w:lvl w:ilvl="6" w:tplc="ADB22AE2">
      <w:start w:val="1"/>
      <w:numFmt w:val="bullet"/>
      <w:lvlText w:val="•"/>
      <w:lvlJc w:val="left"/>
      <w:rPr>
        <w:rFonts w:hint="default"/>
      </w:rPr>
    </w:lvl>
    <w:lvl w:ilvl="7" w:tplc="6480F8A4">
      <w:start w:val="1"/>
      <w:numFmt w:val="bullet"/>
      <w:lvlText w:val="•"/>
      <w:lvlJc w:val="left"/>
      <w:rPr>
        <w:rFonts w:hint="default"/>
      </w:rPr>
    </w:lvl>
    <w:lvl w:ilvl="8" w:tplc="3620E148">
      <w:start w:val="1"/>
      <w:numFmt w:val="bullet"/>
      <w:lvlText w:val="•"/>
      <w:lvlJc w:val="left"/>
      <w:rPr>
        <w:rFonts w:hint="default"/>
      </w:rPr>
    </w:lvl>
  </w:abstractNum>
  <w:abstractNum w:abstractNumId="5"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6A017FDD"/>
    <w:multiLevelType w:val="hybridMultilevel"/>
    <w:tmpl w:val="43DCCE38"/>
    <w:lvl w:ilvl="0" w:tplc="E42E47BE">
      <w:start w:val="2"/>
      <w:numFmt w:val="decimal"/>
      <w:lvlText w:val="(%1)"/>
      <w:lvlJc w:val="left"/>
      <w:pPr>
        <w:ind w:hanging="399"/>
        <w:jc w:val="left"/>
      </w:pPr>
      <w:rPr>
        <w:rFonts w:ascii="Times New Roman" w:eastAsia="Times New Roman" w:hAnsi="Times New Roman" w:hint="default"/>
        <w:w w:val="98"/>
        <w:sz w:val="24"/>
        <w:szCs w:val="24"/>
      </w:rPr>
    </w:lvl>
    <w:lvl w:ilvl="1" w:tplc="946A1774">
      <w:start w:val="2"/>
      <w:numFmt w:val="decimal"/>
      <w:lvlText w:val="(%2)"/>
      <w:lvlJc w:val="left"/>
      <w:pPr>
        <w:ind w:hanging="400"/>
        <w:jc w:val="left"/>
      </w:pPr>
      <w:rPr>
        <w:rFonts w:ascii="Times New Roman" w:eastAsia="Times New Roman" w:hAnsi="Times New Roman" w:hint="default"/>
        <w:w w:val="99"/>
        <w:sz w:val="24"/>
        <w:szCs w:val="24"/>
      </w:rPr>
    </w:lvl>
    <w:lvl w:ilvl="2" w:tplc="1E946220">
      <w:start w:val="1"/>
      <w:numFmt w:val="bullet"/>
      <w:lvlText w:val="•"/>
      <w:lvlJc w:val="left"/>
      <w:rPr>
        <w:rFonts w:hint="default"/>
      </w:rPr>
    </w:lvl>
    <w:lvl w:ilvl="3" w:tplc="E6388FC0">
      <w:start w:val="1"/>
      <w:numFmt w:val="bullet"/>
      <w:lvlText w:val="•"/>
      <w:lvlJc w:val="left"/>
      <w:rPr>
        <w:rFonts w:hint="default"/>
      </w:rPr>
    </w:lvl>
    <w:lvl w:ilvl="4" w:tplc="2286F0AC">
      <w:start w:val="1"/>
      <w:numFmt w:val="bullet"/>
      <w:lvlText w:val="•"/>
      <w:lvlJc w:val="left"/>
      <w:rPr>
        <w:rFonts w:hint="default"/>
      </w:rPr>
    </w:lvl>
    <w:lvl w:ilvl="5" w:tplc="ACE45288">
      <w:start w:val="1"/>
      <w:numFmt w:val="bullet"/>
      <w:lvlText w:val="•"/>
      <w:lvlJc w:val="left"/>
      <w:rPr>
        <w:rFonts w:hint="default"/>
      </w:rPr>
    </w:lvl>
    <w:lvl w:ilvl="6" w:tplc="BD4C8706">
      <w:start w:val="1"/>
      <w:numFmt w:val="bullet"/>
      <w:lvlText w:val="•"/>
      <w:lvlJc w:val="left"/>
      <w:rPr>
        <w:rFonts w:hint="default"/>
      </w:rPr>
    </w:lvl>
    <w:lvl w:ilvl="7" w:tplc="5F7207C6">
      <w:start w:val="1"/>
      <w:numFmt w:val="bullet"/>
      <w:lvlText w:val="•"/>
      <w:lvlJc w:val="left"/>
      <w:rPr>
        <w:rFonts w:hint="default"/>
      </w:rPr>
    </w:lvl>
    <w:lvl w:ilvl="8" w:tplc="81B438D8">
      <w:start w:val="1"/>
      <w:numFmt w:val="bullet"/>
      <w:lvlText w:val="•"/>
      <w:lvlJc w:val="left"/>
      <w:rPr>
        <w:rFonts w:hint="default"/>
      </w:rPr>
    </w:lvl>
  </w:abstractNum>
  <w:num w:numId="1">
    <w:abstractNumId w:val="2"/>
  </w:num>
  <w:num w:numId="2">
    <w:abstractNumId w:val="8"/>
  </w:num>
  <w:num w:numId="3">
    <w:abstractNumId w:val="5"/>
  </w:num>
  <w:num w:numId="4">
    <w:abstractNumId w:val="6"/>
  </w:num>
  <w:num w:numId="5">
    <w:abstractNumId w:val="7"/>
  </w:num>
  <w:num w:numId="6">
    <w:abstractNumId w:val="9"/>
  </w:num>
  <w:num w:numId="7">
    <w:abstractNumId w:val="4"/>
  </w:num>
  <w:num w:numId="8">
    <w:abstractNumId w:val="3"/>
  </w:num>
  <w:num w:numId="9">
    <w:abstractNumId w:val="1"/>
  </w:num>
  <w:num w:numId="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9"/>
  <w:displayBackgroundShape/>
  <w:embedSystemFonts/>
  <w:bordersDoNotSurroundHeader/>
  <w:bordersDoNotSurroundFooter/>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docVars>
    <w:docVar w:name="__Grammarly_42____i" w:val="H4sIAAAAAAAEAKtWckksSQxILCpxzi/NK1GyMqwFAAEhoTITAAAA"/>
    <w:docVar w:name="__Grammarly_42___1" w:val="H4sIAAAAAAAEAKtWcslP9kxRslIyNDaytDAzMTW2NDAwNDAyMzBT0lEKTi0uzszPAykwrAUA2Z1PjiwAAAA="/>
  </w:docVars>
  <w:rsids>
    <w:rsidRoot w:val="007A7B42"/>
    <w:rsid w:val="00000812"/>
    <w:rsid w:val="00003730"/>
    <w:rsid w:val="00003DCF"/>
    <w:rsid w:val="00004F6B"/>
    <w:rsid w:val="000052A2"/>
    <w:rsid w:val="00005583"/>
    <w:rsid w:val="00005680"/>
    <w:rsid w:val="00005EE8"/>
    <w:rsid w:val="000073EE"/>
    <w:rsid w:val="0001088D"/>
    <w:rsid w:val="00010B81"/>
    <w:rsid w:val="000133A8"/>
    <w:rsid w:val="00023D2F"/>
    <w:rsid w:val="000242FF"/>
    <w:rsid w:val="00024D3E"/>
    <w:rsid w:val="00034949"/>
    <w:rsid w:val="00034B64"/>
    <w:rsid w:val="000420FF"/>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B659C"/>
    <w:rsid w:val="000C01AC"/>
    <w:rsid w:val="000C2C80"/>
    <w:rsid w:val="000C416E"/>
    <w:rsid w:val="000C5263"/>
    <w:rsid w:val="000D08CD"/>
    <w:rsid w:val="000D3B3A"/>
    <w:rsid w:val="000D61EB"/>
    <w:rsid w:val="000E21FC"/>
    <w:rsid w:val="000E427F"/>
    <w:rsid w:val="000E5C90"/>
    <w:rsid w:val="000F1E72"/>
    <w:rsid w:val="000F260D"/>
    <w:rsid w:val="000F4429"/>
    <w:rsid w:val="000F7993"/>
    <w:rsid w:val="001032C8"/>
    <w:rsid w:val="0010747B"/>
    <w:rsid w:val="001121EE"/>
    <w:rsid w:val="001128C3"/>
    <w:rsid w:val="00121135"/>
    <w:rsid w:val="0012543A"/>
    <w:rsid w:val="001309F6"/>
    <w:rsid w:val="00133371"/>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2A4A"/>
    <w:rsid w:val="0020301E"/>
    <w:rsid w:val="00203302"/>
    <w:rsid w:val="002075A8"/>
    <w:rsid w:val="0021001A"/>
    <w:rsid w:val="00215715"/>
    <w:rsid w:val="002208C6"/>
    <w:rsid w:val="00221C58"/>
    <w:rsid w:val="002252DD"/>
    <w:rsid w:val="0023567D"/>
    <w:rsid w:val="002436F5"/>
    <w:rsid w:val="00251136"/>
    <w:rsid w:val="00255B09"/>
    <w:rsid w:val="00257780"/>
    <w:rsid w:val="00261EC4"/>
    <w:rsid w:val="00265308"/>
    <w:rsid w:val="002655B6"/>
    <w:rsid w:val="00267B91"/>
    <w:rsid w:val="00275EF6"/>
    <w:rsid w:val="00275F60"/>
    <w:rsid w:val="00277218"/>
    <w:rsid w:val="00280DCD"/>
    <w:rsid w:val="0028271E"/>
    <w:rsid w:val="002831B8"/>
    <w:rsid w:val="00286A4D"/>
    <w:rsid w:val="00286E57"/>
    <w:rsid w:val="002907F0"/>
    <w:rsid w:val="002964E7"/>
    <w:rsid w:val="002A044B"/>
    <w:rsid w:val="002A2928"/>
    <w:rsid w:val="002A6CF2"/>
    <w:rsid w:val="002B1C39"/>
    <w:rsid w:val="002B2784"/>
    <w:rsid w:val="002B4E1F"/>
    <w:rsid w:val="002C280C"/>
    <w:rsid w:val="002D1D4C"/>
    <w:rsid w:val="002D4ED3"/>
    <w:rsid w:val="002E3094"/>
    <w:rsid w:val="002E62C7"/>
    <w:rsid w:val="002F4347"/>
    <w:rsid w:val="003013D8"/>
    <w:rsid w:val="00303D74"/>
    <w:rsid w:val="00304858"/>
    <w:rsid w:val="00312523"/>
    <w:rsid w:val="00324212"/>
    <w:rsid w:val="0032744E"/>
    <w:rsid w:val="00330E75"/>
    <w:rsid w:val="003326B5"/>
    <w:rsid w:val="0033299D"/>
    <w:rsid w:val="00332A15"/>
    <w:rsid w:val="00336B1F"/>
    <w:rsid w:val="00336DF0"/>
    <w:rsid w:val="003407C1"/>
    <w:rsid w:val="00342579"/>
    <w:rsid w:val="00342850"/>
    <w:rsid w:val="003443EF"/>
    <w:rsid w:val="003449A3"/>
    <w:rsid w:val="00346F74"/>
    <w:rsid w:val="0035589F"/>
    <w:rsid w:val="00363299"/>
    <w:rsid w:val="00363E94"/>
    <w:rsid w:val="00366718"/>
    <w:rsid w:val="0037208D"/>
    <w:rsid w:val="003778DA"/>
    <w:rsid w:val="00377FBD"/>
    <w:rsid w:val="00380973"/>
    <w:rsid w:val="00382271"/>
    <w:rsid w:val="003837C6"/>
    <w:rsid w:val="003849A8"/>
    <w:rsid w:val="003905F1"/>
    <w:rsid w:val="00394930"/>
    <w:rsid w:val="00394B3B"/>
    <w:rsid w:val="003A368C"/>
    <w:rsid w:val="003A5DAC"/>
    <w:rsid w:val="003B440D"/>
    <w:rsid w:val="003B6581"/>
    <w:rsid w:val="003C20AF"/>
    <w:rsid w:val="003C37A0"/>
    <w:rsid w:val="003C5F5A"/>
    <w:rsid w:val="003C7232"/>
    <w:rsid w:val="003D233B"/>
    <w:rsid w:val="003D4EAA"/>
    <w:rsid w:val="003D76EF"/>
    <w:rsid w:val="003E2DE5"/>
    <w:rsid w:val="003E6206"/>
    <w:rsid w:val="003E76D6"/>
    <w:rsid w:val="003F1EA2"/>
    <w:rsid w:val="003F6D96"/>
    <w:rsid w:val="00401FBB"/>
    <w:rsid w:val="004042CD"/>
    <w:rsid w:val="0040592F"/>
    <w:rsid w:val="00406360"/>
    <w:rsid w:val="00413364"/>
    <w:rsid w:val="00413961"/>
    <w:rsid w:val="00416A53"/>
    <w:rsid w:val="00423963"/>
    <w:rsid w:val="004245F9"/>
    <w:rsid w:val="00424C03"/>
    <w:rsid w:val="00426221"/>
    <w:rsid w:val="0043103F"/>
    <w:rsid w:val="004347BA"/>
    <w:rsid w:val="00443021"/>
    <w:rsid w:val="00445C4F"/>
    <w:rsid w:val="00453046"/>
    <w:rsid w:val="004532EA"/>
    <w:rsid w:val="00453682"/>
    <w:rsid w:val="00456986"/>
    <w:rsid w:val="00466077"/>
    <w:rsid w:val="004664DC"/>
    <w:rsid w:val="00471321"/>
    <w:rsid w:val="00474D22"/>
    <w:rsid w:val="00481E77"/>
    <w:rsid w:val="00484E43"/>
    <w:rsid w:val="00491FC6"/>
    <w:rsid w:val="004920DB"/>
    <w:rsid w:val="00494F0F"/>
    <w:rsid w:val="0049507E"/>
    <w:rsid w:val="004951B3"/>
    <w:rsid w:val="004A01D1"/>
    <w:rsid w:val="004B0AB3"/>
    <w:rsid w:val="004B13C6"/>
    <w:rsid w:val="004B437B"/>
    <w:rsid w:val="004B5A3C"/>
    <w:rsid w:val="004C1DA0"/>
    <w:rsid w:val="004D0854"/>
    <w:rsid w:val="004D2FFC"/>
    <w:rsid w:val="004D3215"/>
    <w:rsid w:val="004D67C8"/>
    <w:rsid w:val="004E2029"/>
    <w:rsid w:val="004E33FE"/>
    <w:rsid w:val="004E4868"/>
    <w:rsid w:val="004E5244"/>
    <w:rsid w:val="004F7202"/>
    <w:rsid w:val="004F72F4"/>
    <w:rsid w:val="00501CAB"/>
    <w:rsid w:val="00502181"/>
    <w:rsid w:val="0050232A"/>
    <w:rsid w:val="00503297"/>
    <w:rsid w:val="005101FF"/>
    <w:rsid w:val="00512242"/>
    <w:rsid w:val="00512DA3"/>
    <w:rsid w:val="00514000"/>
    <w:rsid w:val="00515D04"/>
    <w:rsid w:val="00524ECC"/>
    <w:rsid w:val="00527ABE"/>
    <w:rsid w:val="005322A1"/>
    <w:rsid w:val="00532451"/>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2075A"/>
    <w:rsid w:val="00625ED8"/>
    <w:rsid w:val="006271AA"/>
    <w:rsid w:val="00634DA7"/>
    <w:rsid w:val="006350C4"/>
    <w:rsid w:val="0063655A"/>
    <w:rsid w:val="00642844"/>
    <w:rsid w:val="0064409B"/>
    <w:rsid w:val="006441C2"/>
    <w:rsid w:val="00644FCB"/>
    <w:rsid w:val="00645C44"/>
    <w:rsid w:val="00651EA5"/>
    <w:rsid w:val="00655E3F"/>
    <w:rsid w:val="0065745C"/>
    <w:rsid w:val="00660511"/>
    <w:rsid w:val="00667BB6"/>
    <w:rsid w:val="00672978"/>
    <w:rsid w:val="006734AB"/>
    <w:rsid w:val="006737D3"/>
    <w:rsid w:val="0067435B"/>
    <w:rsid w:val="00682D07"/>
    <w:rsid w:val="00683064"/>
    <w:rsid w:val="00687058"/>
    <w:rsid w:val="00694430"/>
    <w:rsid w:val="00694677"/>
    <w:rsid w:val="00697FAC"/>
    <w:rsid w:val="006A03A3"/>
    <w:rsid w:val="006A11C3"/>
    <w:rsid w:val="006A6EA7"/>
    <w:rsid w:val="006A74BC"/>
    <w:rsid w:val="006B503F"/>
    <w:rsid w:val="006B64A8"/>
    <w:rsid w:val="006B707C"/>
    <w:rsid w:val="006C24CB"/>
    <w:rsid w:val="006C6020"/>
    <w:rsid w:val="006D0225"/>
    <w:rsid w:val="006D15F6"/>
    <w:rsid w:val="006D1681"/>
    <w:rsid w:val="006D2E1F"/>
    <w:rsid w:val="006D3B55"/>
    <w:rsid w:val="006E3151"/>
    <w:rsid w:val="006E3515"/>
    <w:rsid w:val="006F594C"/>
    <w:rsid w:val="006F5E34"/>
    <w:rsid w:val="006F7F2A"/>
    <w:rsid w:val="00701118"/>
    <w:rsid w:val="0070344F"/>
    <w:rsid w:val="00704C6B"/>
    <w:rsid w:val="00705BD4"/>
    <w:rsid w:val="00706159"/>
    <w:rsid w:val="0070672E"/>
    <w:rsid w:val="007105C0"/>
    <w:rsid w:val="007107EE"/>
    <w:rsid w:val="00711AF2"/>
    <w:rsid w:val="00712B55"/>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543A"/>
    <w:rsid w:val="00793315"/>
    <w:rsid w:val="007A0311"/>
    <w:rsid w:val="007A4003"/>
    <w:rsid w:val="007A5F9C"/>
    <w:rsid w:val="007A7B42"/>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46274"/>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4F88"/>
    <w:rsid w:val="008D093F"/>
    <w:rsid w:val="008D3142"/>
    <w:rsid w:val="008D4BE2"/>
    <w:rsid w:val="008D7F66"/>
    <w:rsid w:val="008E0937"/>
    <w:rsid w:val="00901BEF"/>
    <w:rsid w:val="009026ED"/>
    <w:rsid w:val="009030BF"/>
    <w:rsid w:val="0090401B"/>
    <w:rsid w:val="009055B3"/>
    <w:rsid w:val="00905B0F"/>
    <w:rsid w:val="00906749"/>
    <w:rsid w:val="00911C6C"/>
    <w:rsid w:val="00914263"/>
    <w:rsid w:val="00914280"/>
    <w:rsid w:val="009201D0"/>
    <w:rsid w:val="009202D3"/>
    <w:rsid w:val="00922786"/>
    <w:rsid w:val="0093242F"/>
    <w:rsid w:val="00933C53"/>
    <w:rsid w:val="00940A34"/>
    <w:rsid w:val="00940A79"/>
    <w:rsid w:val="0094272F"/>
    <w:rsid w:val="009440A2"/>
    <w:rsid w:val="0094500C"/>
    <w:rsid w:val="00946D77"/>
    <w:rsid w:val="00960A33"/>
    <w:rsid w:val="00961AC0"/>
    <w:rsid w:val="00963D1F"/>
    <w:rsid w:val="00965A50"/>
    <w:rsid w:val="00965D02"/>
    <w:rsid w:val="009674A5"/>
    <w:rsid w:val="00971042"/>
    <w:rsid w:val="0097618B"/>
    <w:rsid w:val="009774F9"/>
    <w:rsid w:val="00981EC4"/>
    <w:rsid w:val="009830C2"/>
    <w:rsid w:val="00990EEB"/>
    <w:rsid w:val="0099219B"/>
    <w:rsid w:val="00992BA2"/>
    <w:rsid w:val="00993997"/>
    <w:rsid w:val="009963D4"/>
    <w:rsid w:val="009968F2"/>
    <w:rsid w:val="009A393E"/>
    <w:rsid w:val="009A73DE"/>
    <w:rsid w:val="009B0E42"/>
    <w:rsid w:val="009D3383"/>
    <w:rsid w:val="009D3443"/>
    <w:rsid w:val="009D3DBD"/>
    <w:rsid w:val="009D7A3B"/>
    <w:rsid w:val="009E44CD"/>
    <w:rsid w:val="009E66C3"/>
    <w:rsid w:val="009E79BE"/>
    <w:rsid w:val="009F0F2B"/>
    <w:rsid w:val="009F33C9"/>
    <w:rsid w:val="009F4A96"/>
    <w:rsid w:val="009F735A"/>
    <w:rsid w:val="009F7600"/>
    <w:rsid w:val="00A03365"/>
    <w:rsid w:val="00A07879"/>
    <w:rsid w:val="00A1474E"/>
    <w:rsid w:val="00A156A1"/>
    <w:rsid w:val="00A1618E"/>
    <w:rsid w:val="00A219F3"/>
    <w:rsid w:val="00A2233A"/>
    <w:rsid w:val="00A23E01"/>
    <w:rsid w:val="00A24135"/>
    <w:rsid w:val="00A25C8D"/>
    <w:rsid w:val="00A3088C"/>
    <w:rsid w:val="00A41A02"/>
    <w:rsid w:val="00A43EBA"/>
    <w:rsid w:val="00A44378"/>
    <w:rsid w:val="00A50D6A"/>
    <w:rsid w:val="00A50FFE"/>
    <w:rsid w:val="00A60798"/>
    <w:rsid w:val="00A60BC7"/>
    <w:rsid w:val="00A62193"/>
    <w:rsid w:val="00A62552"/>
    <w:rsid w:val="00A65C80"/>
    <w:rsid w:val="00A66599"/>
    <w:rsid w:val="00A7060B"/>
    <w:rsid w:val="00A70D02"/>
    <w:rsid w:val="00A81C7A"/>
    <w:rsid w:val="00A83578"/>
    <w:rsid w:val="00A86E94"/>
    <w:rsid w:val="00A87295"/>
    <w:rsid w:val="00A927B8"/>
    <w:rsid w:val="00A92C42"/>
    <w:rsid w:val="00A93B18"/>
    <w:rsid w:val="00A9696C"/>
    <w:rsid w:val="00A96B49"/>
    <w:rsid w:val="00A96D72"/>
    <w:rsid w:val="00AA12F7"/>
    <w:rsid w:val="00AA24D4"/>
    <w:rsid w:val="00AA41AD"/>
    <w:rsid w:val="00AA7540"/>
    <w:rsid w:val="00AB3AEC"/>
    <w:rsid w:val="00AB4E72"/>
    <w:rsid w:val="00AB5B30"/>
    <w:rsid w:val="00AB7D0E"/>
    <w:rsid w:val="00AC0484"/>
    <w:rsid w:val="00AC1215"/>
    <w:rsid w:val="00AC2203"/>
    <w:rsid w:val="00AC2903"/>
    <w:rsid w:val="00AC48A2"/>
    <w:rsid w:val="00AC4FD6"/>
    <w:rsid w:val="00AC550E"/>
    <w:rsid w:val="00AC571E"/>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2E65"/>
    <w:rsid w:val="00B23CAE"/>
    <w:rsid w:val="00B26C33"/>
    <w:rsid w:val="00B34C80"/>
    <w:rsid w:val="00B4106D"/>
    <w:rsid w:val="00B44C4A"/>
    <w:rsid w:val="00B47524"/>
    <w:rsid w:val="00B55602"/>
    <w:rsid w:val="00B6179B"/>
    <w:rsid w:val="00B617E1"/>
    <w:rsid w:val="00B61E7F"/>
    <w:rsid w:val="00B74BEC"/>
    <w:rsid w:val="00B77A86"/>
    <w:rsid w:val="00B819F9"/>
    <w:rsid w:val="00B8798B"/>
    <w:rsid w:val="00B87FDA"/>
    <w:rsid w:val="00B93FA9"/>
    <w:rsid w:val="00B94F2F"/>
    <w:rsid w:val="00B95DEE"/>
    <w:rsid w:val="00BA6B35"/>
    <w:rsid w:val="00BB6831"/>
    <w:rsid w:val="00BC1199"/>
    <w:rsid w:val="00BC3E37"/>
    <w:rsid w:val="00BC6658"/>
    <w:rsid w:val="00BC697F"/>
    <w:rsid w:val="00BD2B69"/>
    <w:rsid w:val="00BD4143"/>
    <w:rsid w:val="00BD5386"/>
    <w:rsid w:val="00BE095D"/>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21A2F"/>
    <w:rsid w:val="00C2525F"/>
    <w:rsid w:val="00C27873"/>
    <w:rsid w:val="00C30331"/>
    <w:rsid w:val="00C332FE"/>
    <w:rsid w:val="00C35013"/>
    <w:rsid w:val="00C361C3"/>
    <w:rsid w:val="00C36B55"/>
    <w:rsid w:val="00C5376E"/>
    <w:rsid w:val="00C546CA"/>
    <w:rsid w:val="00C56FD0"/>
    <w:rsid w:val="00C57C16"/>
    <w:rsid w:val="00C63501"/>
    <w:rsid w:val="00C63F22"/>
    <w:rsid w:val="00C700C6"/>
    <w:rsid w:val="00C70B2F"/>
    <w:rsid w:val="00C74183"/>
    <w:rsid w:val="00C74CDA"/>
    <w:rsid w:val="00C778D1"/>
    <w:rsid w:val="00C82530"/>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68CE"/>
    <w:rsid w:val="00CE0E28"/>
    <w:rsid w:val="00CE101E"/>
    <w:rsid w:val="00CE2639"/>
    <w:rsid w:val="00CE6415"/>
    <w:rsid w:val="00CE7759"/>
    <w:rsid w:val="00CF091B"/>
    <w:rsid w:val="00CF1986"/>
    <w:rsid w:val="00CF6B09"/>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51089"/>
    <w:rsid w:val="00D51B92"/>
    <w:rsid w:val="00D5691B"/>
    <w:rsid w:val="00D574A4"/>
    <w:rsid w:val="00D62753"/>
    <w:rsid w:val="00D63698"/>
    <w:rsid w:val="00D721E9"/>
    <w:rsid w:val="00D75950"/>
    <w:rsid w:val="00D760CE"/>
    <w:rsid w:val="00D838A0"/>
    <w:rsid w:val="00D924D5"/>
    <w:rsid w:val="00D94444"/>
    <w:rsid w:val="00D9603B"/>
    <w:rsid w:val="00DA3240"/>
    <w:rsid w:val="00DA5C40"/>
    <w:rsid w:val="00DA63BE"/>
    <w:rsid w:val="00DB4BA9"/>
    <w:rsid w:val="00DB60E4"/>
    <w:rsid w:val="00DC218D"/>
    <w:rsid w:val="00DC4BEF"/>
    <w:rsid w:val="00DC6273"/>
    <w:rsid w:val="00DC6485"/>
    <w:rsid w:val="00DC7EE1"/>
    <w:rsid w:val="00DD0E75"/>
    <w:rsid w:val="00DD2076"/>
    <w:rsid w:val="00DD2D5A"/>
    <w:rsid w:val="00DD76F6"/>
    <w:rsid w:val="00DE1053"/>
    <w:rsid w:val="00DE1C5D"/>
    <w:rsid w:val="00DE4054"/>
    <w:rsid w:val="00DE7C73"/>
    <w:rsid w:val="00DF0566"/>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7968"/>
    <w:rsid w:val="00E80FB4"/>
    <w:rsid w:val="00E84C22"/>
    <w:rsid w:val="00E85219"/>
    <w:rsid w:val="00E93CB2"/>
    <w:rsid w:val="00EA3CEA"/>
    <w:rsid w:val="00EB000A"/>
    <w:rsid w:val="00EB1BBB"/>
    <w:rsid w:val="00EB4A8B"/>
    <w:rsid w:val="00EB67E8"/>
    <w:rsid w:val="00EB7298"/>
    <w:rsid w:val="00EB7655"/>
    <w:rsid w:val="00ED0F60"/>
    <w:rsid w:val="00ED2F42"/>
    <w:rsid w:val="00ED6F8F"/>
    <w:rsid w:val="00EE2247"/>
    <w:rsid w:val="00EE2CEA"/>
    <w:rsid w:val="00EE5A85"/>
    <w:rsid w:val="00EE64B7"/>
    <w:rsid w:val="00EF2826"/>
    <w:rsid w:val="00EF3E7B"/>
    <w:rsid w:val="00EF514A"/>
    <w:rsid w:val="00F01BD4"/>
    <w:rsid w:val="00F045FC"/>
    <w:rsid w:val="00F057A4"/>
    <w:rsid w:val="00F1418D"/>
    <w:rsid w:val="00F1491A"/>
    <w:rsid w:val="00F15137"/>
    <w:rsid w:val="00F22B1C"/>
    <w:rsid w:val="00F23EB1"/>
    <w:rsid w:val="00F25922"/>
    <w:rsid w:val="00F2620B"/>
    <w:rsid w:val="00F30A65"/>
    <w:rsid w:val="00F37578"/>
    <w:rsid w:val="00F47E8A"/>
    <w:rsid w:val="00F52BC9"/>
    <w:rsid w:val="00F56201"/>
    <w:rsid w:val="00F56938"/>
    <w:rsid w:val="00F57DE9"/>
    <w:rsid w:val="00F63D12"/>
    <w:rsid w:val="00F6598F"/>
    <w:rsid w:val="00F67230"/>
    <w:rsid w:val="00F676D5"/>
    <w:rsid w:val="00F67F60"/>
    <w:rsid w:val="00F83D13"/>
    <w:rsid w:val="00F870B9"/>
    <w:rsid w:val="00F9429A"/>
    <w:rsid w:val="00F945A2"/>
    <w:rsid w:val="00F94E32"/>
    <w:rsid w:val="00F9665E"/>
    <w:rsid w:val="00F969A2"/>
    <w:rsid w:val="00FA30B6"/>
    <w:rsid w:val="00FA450D"/>
    <w:rsid w:val="00FA6D09"/>
    <w:rsid w:val="00FA7FE6"/>
    <w:rsid w:val="00FB1BAE"/>
    <w:rsid w:val="00FB2064"/>
    <w:rsid w:val="00FB31C0"/>
    <w:rsid w:val="00FB375A"/>
    <w:rsid w:val="00FB4CB8"/>
    <w:rsid w:val="00FC25AF"/>
    <w:rsid w:val="00FC2B86"/>
    <w:rsid w:val="00FC33A9"/>
    <w:rsid w:val="00FC33C3"/>
    <w:rsid w:val="00FC4863"/>
    <w:rsid w:val="00FC6D6D"/>
    <w:rsid w:val="00FC7F67"/>
    <w:rsid w:val="00FD0B54"/>
    <w:rsid w:val="00FD0D78"/>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5:docId w15:val="{873BB4C2-7273-43C8-B3FF-D68BAABA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3443EF"/>
    <w:pPr>
      <w:spacing w:after="0" w:line="240" w:lineRule="auto"/>
    </w:pPr>
    <w:rPr>
      <w:rFonts w:ascii="Times New Roman" w:hAnsi="Times New Roman"/>
      <w:noProof/>
    </w:rPr>
  </w:style>
  <w:style w:type="paragraph" w:styleId="Heading1">
    <w:name w:val="heading 1"/>
    <w:basedOn w:val="Normal"/>
    <w:link w:val="Heading1Char"/>
    <w:uiPriority w:val="9"/>
    <w:rsid w:val="00382271"/>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2271"/>
    <w:pPr>
      <w:tabs>
        <w:tab w:val="center" w:pos="4513"/>
        <w:tab w:val="right" w:pos="9026"/>
      </w:tabs>
    </w:pPr>
  </w:style>
  <w:style w:type="character" w:customStyle="1" w:styleId="FooterChar">
    <w:name w:val="Footer Char"/>
    <w:basedOn w:val="DefaultParagraphFont"/>
    <w:link w:val="Footer"/>
    <w:uiPriority w:val="99"/>
    <w:rsid w:val="00382271"/>
    <w:rPr>
      <w:rFonts w:ascii="Times New Roman" w:hAnsi="Times New Roman"/>
      <w:noProof/>
    </w:rPr>
  </w:style>
  <w:style w:type="paragraph" w:styleId="Header">
    <w:name w:val="header"/>
    <w:basedOn w:val="Normal"/>
    <w:link w:val="HeaderChar"/>
    <w:uiPriority w:val="99"/>
    <w:unhideWhenUsed/>
    <w:rsid w:val="00382271"/>
    <w:pPr>
      <w:tabs>
        <w:tab w:val="center" w:pos="4513"/>
        <w:tab w:val="right" w:pos="9026"/>
      </w:tabs>
    </w:pPr>
  </w:style>
  <w:style w:type="character" w:customStyle="1" w:styleId="HeaderChar">
    <w:name w:val="Header Char"/>
    <w:basedOn w:val="DefaultParagraphFont"/>
    <w:link w:val="Header"/>
    <w:uiPriority w:val="99"/>
    <w:rsid w:val="00382271"/>
    <w:rPr>
      <w:rFonts w:ascii="Times New Roman" w:hAnsi="Times New Roman"/>
      <w:noProof/>
    </w:rPr>
  </w:style>
  <w:style w:type="paragraph" w:styleId="BalloonText">
    <w:name w:val="Balloon Text"/>
    <w:basedOn w:val="Normal"/>
    <w:link w:val="BalloonTextChar"/>
    <w:uiPriority w:val="99"/>
    <w:semiHidden/>
    <w:unhideWhenUsed/>
    <w:rsid w:val="00382271"/>
    <w:rPr>
      <w:rFonts w:ascii="Tahoma" w:hAnsi="Tahoma" w:cs="Tahoma"/>
      <w:sz w:val="16"/>
      <w:szCs w:val="16"/>
    </w:rPr>
  </w:style>
  <w:style w:type="character" w:customStyle="1" w:styleId="BalloonTextChar">
    <w:name w:val="Balloon Text Char"/>
    <w:basedOn w:val="DefaultParagraphFont"/>
    <w:link w:val="BalloonText"/>
    <w:uiPriority w:val="99"/>
    <w:semiHidden/>
    <w:rsid w:val="00382271"/>
    <w:rPr>
      <w:rFonts w:ascii="Tahoma" w:hAnsi="Tahoma" w:cs="Tahoma"/>
      <w:noProof/>
      <w:sz w:val="16"/>
      <w:szCs w:val="16"/>
    </w:rPr>
  </w:style>
  <w:style w:type="paragraph" w:customStyle="1" w:styleId="REG-H3A">
    <w:name w:val="REG-H3A"/>
    <w:link w:val="REG-H3AChar"/>
    <w:qFormat/>
    <w:rsid w:val="00382271"/>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382271"/>
    <w:pPr>
      <w:numPr>
        <w:numId w:val="1"/>
      </w:numPr>
      <w:contextualSpacing/>
    </w:pPr>
  </w:style>
  <w:style w:type="character" w:customStyle="1" w:styleId="REG-H3AChar">
    <w:name w:val="REG-H3A Char"/>
    <w:basedOn w:val="DefaultParagraphFont"/>
    <w:link w:val="REG-H3A"/>
    <w:rsid w:val="00382271"/>
    <w:rPr>
      <w:rFonts w:ascii="Times New Roman" w:hAnsi="Times New Roman" w:cs="Times New Roman"/>
      <w:b/>
      <w:caps/>
      <w:noProof/>
    </w:rPr>
  </w:style>
  <w:style w:type="character" w:customStyle="1" w:styleId="A3">
    <w:name w:val="A3"/>
    <w:uiPriority w:val="99"/>
    <w:rsid w:val="00382271"/>
    <w:rPr>
      <w:rFonts w:cs="Times"/>
      <w:color w:val="000000"/>
      <w:sz w:val="22"/>
      <w:szCs w:val="22"/>
    </w:rPr>
  </w:style>
  <w:style w:type="paragraph" w:customStyle="1" w:styleId="Head2B">
    <w:name w:val="Head 2B"/>
    <w:basedOn w:val="AS-H3A"/>
    <w:link w:val="Head2BChar"/>
    <w:rsid w:val="00382271"/>
  </w:style>
  <w:style w:type="paragraph" w:styleId="ListParagraph">
    <w:name w:val="List Paragraph"/>
    <w:basedOn w:val="Normal"/>
    <w:link w:val="ListParagraphChar"/>
    <w:uiPriority w:val="34"/>
    <w:rsid w:val="00382271"/>
    <w:pPr>
      <w:ind w:left="720"/>
      <w:contextualSpacing/>
    </w:pPr>
  </w:style>
  <w:style w:type="character" w:customStyle="1" w:styleId="Head2BChar">
    <w:name w:val="Head 2B Char"/>
    <w:basedOn w:val="AS-H3AChar"/>
    <w:link w:val="Head2B"/>
    <w:rsid w:val="00382271"/>
    <w:rPr>
      <w:rFonts w:ascii="Times New Roman" w:hAnsi="Times New Roman" w:cs="Times New Roman"/>
      <w:b/>
      <w:caps/>
      <w:noProof/>
    </w:rPr>
  </w:style>
  <w:style w:type="paragraph" w:customStyle="1" w:styleId="Head3">
    <w:name w:val="Head 3"/>
    <w:basedOn w:val="ListParagraph"/>
    <w:link w:val="Head3Char"/>
    <w:rsid w:val="00382271"/>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382271"/>
    <w:rPr>
      <w:rFonts w:ascii="Times New Roman" w:hAnsi="Times New Roman"/>
      <w:noProof/>
    </w:rPr>
  </w:style>
  <w:style w:type="character" w:customStyle="1" w:styleId="Head3Char">
    <w:name w:val="Head 3 Char"/>
    <w:basedOn w:val="ListParagraphChar"/>
    <w:link w:val="Head3"/>
    <w:rsid w:val="00382271"/>
    <w:rPr>
      <w:rFonts w:ascii="Times New Roman" w:eastAsia="Times New Roman" w:hAnsi="Times New Roman" w:cs="Times New Roman"/>
      <w:b/>
      <w:bCs/>
      <w:noProof/>
    </w:rPr>
  </w:style>
  <w:style w:type="paragraph" w:customStyle="1" w:styleId="REG-H1a">
    <w:name w:val="REG-H1a"/>
    <w:link w:val="REG-H1aChar"/>
    <w:qFormat/>
    <w:rsid w:val="00382271"/>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382271"/>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382271"/>
    <w:rPr>
      <w:rFonts w:ascii="Arial" w:hAnsi="Arial" w:cs="Arial"/>
      <w:b/>
      <w:noProof/>
      <w:sz w:val="36"/>
      <w:szCs w:val="36"/>
    </w:rPr>
  </w:style>
  <w:style w:type="paragraph" w:customStyle="1" w:styleId="AS-H1-Colour">
    <w:name w:val="AS-H1-Colour"/>
    <w:basedOn w:val="Normal"/>
    <w:link w:val="AS-H1-ColourChar"/>
    <w:rsid w:val="00382271"/>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382271"/>
    <w:rPr>
      <w:rFonts w:ascii="Times New Roman" w:hAnsi="Times New Roman" w:cs="Times New Roman"/>
      <w:b/>
      <w:caps/>
      <w:noProof/>
      <w:color w:val="00B050"/>
      <w:sz w:val="24"/>
      <w:szCs w:val="24"/>
    </w:rPr>
  </w:style>
  <w:style w:type="paragraph" w:customStyle="1" w:styleId="AS-H2b">
    <w:name w:val="AS-H2b"/>
    <w:basedOn w:val="Normal"/>
    <w:link w:val="AS-H2bChar"/>
    <w:rsid w:val="00382271"/>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382271"/>
    <w:rPr>
      <w:rFonts w:ascii="Arial" w:hAnsi="Arial" w:cs="Arial"/>
      <w:b/>
      <w:noProof/>
      <w:color w:val="00B050"/>
      <w:sz w:val="36"/>
      <w:szCs w:val="36"/>
    </w:rPr>
  </w:style>
  <w:style w:type="paragraph" w:customStyle="1" w:styleId="AS-H3">
    <w:name w:val="AS-H3"/>
    <w:basedOn w:val="AS-H3A"/>
    <w:link w:val="AS-H3Char"/>
    <w:rsid w:val="00382271"/>
    <w:rPr>
      <w:sz w:val="28"/>
    </w:rPr>
  </w:style>
  <w:style w:type="character" w:customStyle="1" w:styleId="AS-H2bChar">
    <w:name w:val="AS-H2b Char"/>
    <w:basedOn w:val="DefaultParagraphFont"/>
    <w:link w:val="AS-H2b"/>
    <w:rsid w:val="00382271"/>
    <w:rPr>
      <w:rFonts w:ascii="Arial" w:hAnsi="Arial" w:cs="Arial"/>
      <w:noProof/>
    </w:rPr>
  </w:style>
  <w:style w:type="paragraph" w:customStyle="1" w:styleId="REG-H3b">
    <w:name w:val="REG-H3b"/>
    <w:link w:val="REG-H3bChar"/>
    <w:qFormat/>
    <w:rsid w:val="00382271"/>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382271"/>
    <w:rPr>
      <w:rFonts w:ascii="Times New Roman" w:hAnsi="Times New Roman" w:cs="Times New Roman"/>
      <w:b/>
      <w:caps/>
      <w:noProof/>
      <w:sz w:val="28"/>
    </w:rPr>
  </w:style>
  <w:style w:type="paragraph" w:customStyle="1" w:styleId="AS-H3c">
    <w:name w:val="AS-H3c"/>
    <w:basedOn w:val="Head2B"/>
    <w:link w:val="AS-H3cChar"/>
    <w:rsid w:val="00382271"/>
    <w:rPr>
      <w:b w:val="0"/>
    </w:rPr>
  </w:style>
  <w:style w:type="character" w:customStyle="1" w:styleId="REG-H3bChar">
    <w:name w:val="REG-H3b Char"/>
    <w:basedOn w:val="REG-H3AChar"/>
    <w:link w:val="REG-H3b"/>
    <w:rsid w:val="00382271"/>
    <w:rPr>
      <w:rFonts w:ascii="Times New Roman" w:hAnsi="Times New Roman" w:cs="Times New Roman"/>
      <w:b w:val="0"/>
      <w:caps w:val="0"/>
      <w:noProof/>
    </w:rPr>
  </w:style>
  <w:style w:type="paragraph" w:customStyle="1" w:styleId="AS-H3d">
    <w:name w:val="AS-H3d"/>
    <w:basedOn w:val="Head2B"/>
    <w:link w:val="AS-H3dChar"/>
    <w:rsid w:val="00382271"/>
  </w:style>
  <w:style w:type="character" w:customStyle="1" w:styleId="AS-H3cChar">
    <w:name w:val="AS-H3c Char"/>
    <w:basedOn w:val="Head2BChar"/>
    <w:link w:val="AS-H3c"/>
    <w:rsid w:val="00382271"/>
    <w:rPr>
      <w:rFonts w:ascii="Times New Roman" w:hAnsi="Times New Roman" w:cs="Times New Roman"/>
      <w:b w:val="0"/>
      <w:caps/>
      <w:noProof/>
    </w:rPr>
  </w:style>
  <w:style w:type="paragraph" w:customStyle="1" w:styleId="REG-P0">
    <w:name w:val="REG-P(0)"/>
    <w:basedOn w:val="Normal"/>
    <w:link w:val="REG-P0Char"/>
    <w:qFormat/>
    <w:rsid w:val="00382271"/>
    <w:pPr>
      <w:tabs>
        <w:tab w:val="left" w:pos="567"/>
      </w:tabs>
      <w:jc w:val="both"/>
    </w:pPr>
    <w:rPr>
      <w:rFonts w:eastAsia="Times New Roman" w:cs="Times New Roman"/>
    </w:rPr>
  </w:style>
  <w:style w:type="character" w:customStyle="1" w:styleId="AS-H3dChar">
    <w:name w:val="AS-H3d Char"/>
    <w:basedOn w:val="Head2BChar"/>
    <w:link w:val="AS-H3d"/>
    <w:rsid w:val="00382271"/>
    <w:rPr>
      <w:rFonts w:ascii="Times New Roman" w:hAnsi="Times New Roman" w:cs="Times New Roman"/>
      <w:b/>
      <w:caps/>
      <w:noProof/>
    </w:rPr>
  </w:style>
  <w:style w:type="paragraph" w:customStyle="1" w:styleId="REG-P1">
    <w:name w:val="REG-P(1)"/>
    <w:basedOn w:val="Normal"/>
    <w:link w:val="REG-P1Char"/>
    <w:qFormat/>
    <w:rsid w:val="00382271"/>
    <w:pPr>
      <w:suppressAutoHyphens/>
      <w:ind w:firstLine="567"/>
      <w:jc w:val="both"/>
    </w:pPr>
    <w:rPr>
      <w:rFonts w:eastAsia="Times New Roman" w:cs="Times New Roman"/>
    </w:rPr>
  </w:style>
  <w:style w:type="character" w:customStyle="1" w:styleId="REG-P0Char">
    <w:name w:val="REG-P(0) Char"/>
    <w:basedOn w:val="DefaultParagraphFont"/>
    <w:link w:val="REG-P0"/>
    <w:rsid w:val="00382271"/>
    <w:rPr>
      <w:rFonts w:ascii="Times New Roman" w:eastAsia="Times New Roman" w:hAnsi="Times New Roman" w:cs="Times New Roman"/>
      <w:noProof/>
    </w:rPr>
  </w:style>
  <w:style w:type="paragraph" w:customStyle="1" w:styleId="REG-Pa">
    <w:name w:val="REG-P(a)"/>
    <w:basedOn w:val="Normal"/>
    <w:link w:val="REG-PaChar"/>
    <w:qFormat/>
    <w:rsid w:val="00382271"/>
    <w:pPr>
      <w:ind w:left="1134" w:hanging="567"/>
      <w:jc w:val="both"/>
    </w:pPr>
  </w:style>
  <w:style w:type="character" w:customStyle="1" w:styleId="REG-P1Char">
    <w:name w:val="REG-P(1) Char"/>
    <w:basedOn w:val="DefaultParagraphFont"/>
    <w:link w:val="REG-P1"/>
    <w:rsid w:val="00382271"/>
    <w:rPr>
      <w:rFonts w:ascii="Times New Roman" w:eastAsia="Times New Roman" w:hAnsi="Times New Roman" w:cs="Times New Roman"/>
      <w:noProof/>
    </w:rPr>
  </w:style>
  <w:style w:type="paragraph" w:customStyle="1" w:styleId="REG-Pi">
    <w:name w:val="REG-P(i)"/>
    <w:basedOn w:val="Normal"/>
    <w:link w:val="REG-PiChar"/>
    <w:qFormat/>
    <w:rsid w:val="00382271"/>
    <w:pPr>
      <w:suppressAutoHyphens/>
      <w:ind w:left="1701" w:hanging="567"/>
      <w:jc w:val="both"/>
    </w:pPr>
    <w:rPr>
      <w:rFonts w:eastAsia="Times New Roman" w:cs="Times New Roman"/>
    </w:rPr>
  </w:style>
  <w:style w:type="character" w:customStyle="1" w:styleId="REG-PaChar">
    <w:name w:val="REG-P(a) Char"/>
    <w:basedOn w:val="DefaultParagraphFont"/>
    <w:link w:val="REG-Pa"/>
    <w:rsid w:val="00382271"/>
    <w:rPr>
      <w:rFonts w:ascii="Times New Roman" w:hAnsi="Times New Roman"/>
      <w:noProof/>
    </w:rPr>
  </w:style>
  <w:style w:type="paragraph" w:customStyle="1" w:styleId="AS-Pahang">
    <w:name w:val="AS-P(a)hang"/>
    <w:basedOn w:val="Normal"/>
    <w:link w:val="AS-PahangChar"/>
    <w:rsid w:val="00382271"/>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382271"/>
    <w:rPr>
      <w:rFonts w:ascii="Times New Roman" w:eastAsia="Times New Roman" w:hAnsi="Times New Roman" w:cs="Times New Roman"/>
      <w:noProof/>
    </w:rPr>
  </w:style>
  <w:style w:type="paragraph" w:customStyle="1" w:styleId="REG-Paa">
    <w:name w:val="REG-P(aa)"/>
    <w:basedOn w:val="Normal"/>
    <w:link w:val="REG-PaaChar"/>
    <w:qFormat/>
    <w:rsid w:val="00382271"/>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382271"/>
    <w:rPr>
      <w:rFonts w:ascii="Times New Roman" w:eastAsia="Times New Roman" w:hAnsi="Times New Roman" w:cs="Times New Roman"/>
      <w:noProof/>
    </w:rPr>
  </w:style>
  <w:style w:type="paragraph" w:customStyle="1" w:styleId="REG-Amend">
    <w:name w:val="REG-Amend"/>
    <w:link w:val="REG-AmendChar"/>
    <w:qFormat/>
    <w:rsid w:val="00382271"/>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382271"/>
    <w:rPr>
      <w:rFonts w:ascii="Times New Roman" w:eastAsia="Times New Roman" w:hAnsi="Times New Roman" w:cs="Times New Roman"/>
      <w:noProof/>
    </w:rPr>
  </w:style>
  <w:style w:type="character" w:customStyle="1" w:styleId="REG-AmendChar">
    <w:name w:val="REG-Amend Char"/>
    <w:basedOn w:val="REG-P0Char"/>
    <w:link w:val="REG-Amend"/>
    <w:rsid w:val="00382271"/>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382271"/>
    <w:rPr>
      <w:sz w:val="16"/>
      <w:szCs w:val="16"/>
    </w:rPr>
  </w:style>
  <w:style w:type="paragraph" w:styleId="CommentText">
    <w:name w:val="annotation text"/>
    <w:basedOn w:val="Normal"/>
    <w:link w:val="CommentTextChar"/>
    <w:uiPriority w:val="99"/>
    <w:semiHidden/>
    <w:unhideWhenUsed/>
    <w:rsid w:val="00382271"/>
    <w:rPr>
      <w:sz w:val="20"/>
      <w:szCs w:val="20"/>
    </w:rPr>
  </w:style>
  <w:style w:type="character" w:customStyle="1" w:styleId="CommentTextChar">
    <w:name w:val="Comment Text Char"/>
    <w:basedOn w:val="DefaultParagraphFont"/>
    <w:link w:val="CommentText"/>
    <w:uiPriority w:val="99"/>
    <w:semiHidden/>
    <w:rsid w:val="00382271"/>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382271"/>
    <w:rPr>
      <w:b/>
      <w:bCs/>
    </w:rPr>
  </w:style>
  <w:style w:type="character" w:customStyle="1" w:styleId="CommentSubjectChar">
    <w:name w:val="Comment Subject Char"/>
    <w:basedOn w:val="CommentTextChar"/>
    <w:link w:val="CommentSubject"/>
    <w:uiPriority w:val="99"/>
    <w:semiHidden/>
    <w:rsid w:val="00382271"/>
    <w:rPr>
      <w:rFonts w:ascii="Times New Roman" w:hAnsi="Times New Roman"/>
      <w:b/>
      <w:bCs/>
      <w:noProof/>
      <w:sz w:val="20"/>
      <w:szCs w:val="20"/>
    </w:rPr>
  </w:style>
  <w:style w:type="paragraph" w:customStyle="1" w:styleId="AS-H4A">
    <w:name w:val="AS-H4A"/>
    <w:basedOn w:val="AS-P0"/>
    <w:link w:val="AS-H4AChar"/>
    <w:rsid w:val="00382271"/>
    <w:pPr>
      <w:tabs>
        <w:tab w:val="clear" w:pos="567"/>
      </w:tabs>
      <w:jc w:val="center"/>
    </w:pPr>
    <w:rPr>
      <w:b/>
      <w:caps/>
    </w:rPr>
  </w:style>
  <w:style w:type="paragraph" w:customStyle="1" w:styleId="AS-H4b">
    <w:name w:val="AS-H4b"/>
    <w:basedOn w:val="AS-P0"/>
    <w:link w:val="AS-H4bChar"/>
    <w:rsid w:val="00382271"/>
    <w:pPr>
      <w:tabs>
        <w:tab w:val="clear" w:pos="567"/>
      </w:tabs>
      <w:jc w:val="center"/>
    </w:pPr>
    <w:rPr>
      <w:b/>
    </w:rPr>
  </w:style>
  <w:style w:type="character" w:customStyle="1" w:styleId="AS-H4AChar">
    <w:name w:val="AS-H4A Char"/>
    <w:basedOn w:val="AS-P0Char"/>
    <w:link w:val="AS-H4A"/>
    <w:rsid w:val="00382271"/>
    <w:rPr>
      <w:rFonts w:ascii="Times New Roman" w:eastAsia="Times New Roman" w:hAnsi="Times New Roman" w:cs="Times New Roman"/>
      <w:b/>
      <w:caps/>
      <w:noProof/>
    </w:rPr>
  </w:style>
  <w:style w:type="character" w:customStyle="1" w:styleId="AS-H4bChar">
    <w:name w:val="AS-H4b Char"/>
    <w:basedOn w:val="AS-P0Char"/>
    <w:link w:val="AS-H4b"/>
    <w:rsid w:val="00382271"/>
    <w:rPr>
      <w:rFonts w:ascii="Times New Roman" w:eastAsia="Times New Roman" w:hAnsi="Times New Roman" w:cs="Times New Roman"/>
      <w:b/>
      <w:noProof/>
    </w:rPr>
  </w:style>
  <w:style w:type="paragraph" w:customStyle="1" w:styleId="AS-H2a">
    <w:name w:val="AS-H2a"/>
    <w:basedOn w:val="Normal"/>
    <w:link w:val="AS-H2aChar"/>
    <w:rsid w:val="00382271"/>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382271"/>
    <w:rPr>
      <w:rFonts w:ascii="Arial" w:hAnsi="Arial" w:cs="Arial"/>
      <w:b/>
      <w:noProof/>
    </w:rPr>
  </w:style>
  <w:style w:type="paragraph" w:customStyle="1" w:styleId="REG-H1d">
    <w:name w:val="REG-H1d"/>
    <w:link w:val="REG-H1dChar"/>
    <w:qFormat/>
    <w:rsid w:val="00382271"/>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382271"/>
    <w:rPr>
      <w:rFonts w:ascii="Arial" w:hAnsi="Arial" w:cs="Arial"/>
      <w:b w:val="0"/>
      <w:noProof/>
      <w:color w:val="000000"/>
      <w:szCs w:val="24"/>
      <w:lang w:val="en-ZA"/>
    </w:rPr>
  </w:style>
  <w:style w:type="table" w:styleId="TableGrid">
    <w:name w:val="Table Grid"/>
    <w:basedOn w:val="TableNormal"/>
    <w:uiPriority w:val="59"/>
    <w:rsid w:val="00382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382271"/>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382271"/>
    <w:rPr>
      <w:rFonts w:ascii="Times New Roman" w:eastAsia="Times New Roman" w:hAnsi="Times New Roman"/>
      <w:noProof/>
      <w:sz w:val="24"/>
      <w:szCs w:val="24"/>
      <w:lang w:val="en-US" w:eastAsia="en-US"/>
    </w:rPr>
  </w:style>
  <w:style w:type="paragraph" w:customStyle="1" w:styleId="AS-P0">
    <w:name w:val="AS-P(0)"/>
    <w:basedOn w:val="Normal"/>
    <w:link w:val="AS-P0Char"/>
    <w:rsid w:val="00382271"/>
    <w:pPr>
      <w:tabs>
        <w:tab w:val="left" w:pos="567"/>
      </w:tabs>
      <w:jc w:val="both"/>
    </w:pPr>
    <w:rPr>
      <w:rFonts w:eastAsia="Times New Roman" w:cs="Times New Roman"/>
    </w:rPr>
  </w:style>
  <w:style w:type="character" w:customStyle="1" w:styleId="AS-P0Char">
    <w:name w:val="AS-P(0) Char"/>
    <w:basedOn w:val="DefaultParagraphFont"/>
    <w:link w:val="AS-P0"/>
    <w:rsid w:val="00382271"/>
    <w:rPr>
      <w:rFonts w:ascii="Times New Roman" w:eastAsia="Times New Roman" w:hAnsi="Times New Roman" w:cs="Times New Roman"/>
      <w:noProof/>
    </w:rPr>
  </w:style>
  <w:style w:type="paragraph" w:customStyle="1" w:styleId="AS-H3A">
    <w:name w:val="AS-H3A"/>
    <w:basedOn w:val="Normal"/>
    <w:link w:val="AS-H3AChar"/>
    <w:rsid w:val="00382271"/>
    <w:pPr>
      <w:autoSpaceDE w:val="0"/>
      <w:autoSpaceDN w:val="0"/>
      <w:adjustRightInd w:val="0"/>
      <w:jc w:val="center"/>
    </w:pPr>
    <w:rPr>
      <w:rFonts w:cs="Times New Roman"/>
      <w:b/>
      <w:caps/>
    </w:rPr>
  </w:style>
  <w:style w:type="character" w:customStyle="1" w:styleId="AS-H3AChar">
    <w:name w:val="AS-H3A Char"/>
    <w:basedOn w:val="DefaultParagraphFont"/>
    <w:link w:val="AS-H3A"/>
    <w:rsid w:val="00382271"/>
    <w:rPr>
      <w:rFonts w:ascii="Times New Roman" w:hAnsi="Times New Roman" w:cs="Times New Roman"/>
      <w:b/>
      <w:caps/>
      <w:noProof/>
    </w:rPr>
  </w:style>
  <w:style w:type="paragraph" w:customStyle="1" w:styleId="AS-H1a">
    <w:name w:val="AS-H1a"/>
    <w:basedOn w:val="Normal"/>
    <w:link w:val="AS-H1aChar"/>
    <w:rsid w:val="00382271"/>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382271"/>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382271"/>
    <w:rPr>
      <w:rFonts w:ascii="Arial" w:hAnsi="Arial" w:cs="Arial"/>
      <w:b/>
      <w:noProof/>
      <w:sz w:val="36"/>
      <w:szCs w:val="36"/>
    </w:rPr>
  </w:style>
  <w:style w:type="character" w:customStyle="1" w:styleId="AS-H2Char">
    <w:name w:val="AS-H2 Char"/>
    <w:basedOn w:val="DefaultParagraphFont"/>
    <w:link w:val="AS-H2"/>
    <w:rsid w:val="00382271"/>
    <w:rPr>
      <w:rFonts w:ascii="Times New Roman" w:hAnsi="Times New Roman" w:cs="Times New Roman"/>
      <w:b/>
      <w:caps/>
      <w:noProof/>
      <w:color w:val="000000"/>
      <w:sz w:val="26"/>
    </w:rPr>
  </w:style>
  <w:style w:type="paragraph" w:customStyle="1" w:styleId="AS-H3b">
    <w:name w:val="AS-H3b"/>
    <w:basedOn w:val="Normal"/>
    <w:link w:val="AS-H3bChar"/>
    <w:autoRedefine/>
    <w:rsid w:val="00382271"/>
    <w:pPr>
      <w:jc w:val="center"/>
    </w:pPr>
    <w:rPr>
      <w:rFonts w:cs="Times New Roman"/>
      <w:b/>
    </w:rPr>
  </w:style>
  <w:style w:type="character" w:customStyle="1" w:styleId="AS-H3bChar">
    <w:name w:val="AS-H3b Char"/>
    <w:basedOn w:val="AS-H3AChar"/>
    <w:link w:val="AS-H3b"/>
    <w:rsid w:val="00382271"/>
    <w:rPr>
      <w:rFonts w:ascii="Times New Roman" w:hAnsi="Times New Roman" w:cs="Times New Roman"/>
      <w:b/>
      <w:caps w:val="0"/>
      <w:noProof/>
    </w:rPr>
  </w:style>
  <w:style w:type="paragraph" w:customStyle="1" w:styleId="AS-P1">
    <w:name w:val="AS-P(1)"/>
    <w:basedOn w:val="Normal"/>
    <w:link w:val="AS-P1Char"/>
    <w:rsid w:val="00382271"/>
    <w:pPr>
      <w:suppressAutoHyphens/>
      <w:ind w:right="-7" w:firstLine="567"/>
      <w:jc w:val="both"/>
    </w:pPr>
    <w:rPr>
      <w:rFonts w:eastAsia="Times New Roman" w:cs="Times New Roman"/>
    </w:rPr>
  </w:style>
  <w:style w:type="paragraph" w:customStyle="1" w:styleId="AS-Pa">
    <w:name w:val="AS-P(a)"/>
    <w:basedOn w:val="AS-Pahang"/>
    <w:link w:val="AS-PaChar"/>
    <w:rsid w:val="00382271"/>
  </w:style>
  <w:style w:type="character" w:customStyle="1" w:styleId="AS-P1Char">
    <w:name w:val="AS-P(1) Char"/>
    <w:basedOn w:val="DefaultParagraphFont"/>
    <w:link w:val="AS-P1"/>
    <w:rsid w:val="00382271"/>
    <w:rPr>
      <w:rFonts w:ascii="Times New Roman" w:eastAsia="Times New Roman" w:hAnsi="Times New Roman" w:cs="Times New Roman"/>
      <w:noProof/>
    </w:rPr>
  </w:style>
  <w:style w:type="paragraph" w:customStyle="1" w:styleId="AS-Pi">
    <w:name w:val="AS-P(i)"/>
    <w:basedOn w:val="Normal"/>
    <w:link w:val="AS-PiChar"/>
    <w:rsid w:val="00382271"/>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382271"/>
    <w:rPr>
      <w:rFonts w:ascii="Times New Roman" w:eastAsia="Times New Roman" w:hAnsi="Times New Roman" w:cs="Times New Roman"/>
      <w:noProof/>
    </w:rPr>
  </w:style>
  <w:style w:type="character" w:customStyle="1" w:styleId="AS-PiChar">
    <w:name w:val="AS-P(i) Char"/>
    <w:basedOn w:val="DefaultParagraphFont"/>
    <w:link w:val="AS-Pi"/>
    <w:rsid w:val="00382271"/>
    <w:rPr>
      <w:rFonts w:ascii="Times New Roman" w:eastAsia="Times New Roman" w:hAnsi="Times New Roman" w:cs="Times New Roman"/>
      <w:noProof/>
    </w:rPr>
  </w:style>
  <w:style w:type="paragraph" w:customStyle="1" w:styleId="AS-Paa">
    <w:name w:val="AS-P(aa)"/>
    <w:basedOn w:val="Normal"/>
    <w:link w:val="AS-PaaChar"/>
    <w:rsid w:val="00382271"/>
    <w:pPr>
      <w:suppressAutoHyphens/>
      <w:ind w:left="2267" w:right="-7" w:hanging="566"/>
      <w:jc w:val="both"/>
    </w:pPr>
    <w:rPr>
      <w:rFonts w:eastAsia="Times New Roman" w:cs="Times New Roman"/>
    </w:rPr>
  </w:style>
  <w:style w:type="paragraph" w:customStyle="1" w:styleId="AS-P-Amend">
    <w:name w:val="AS-P-Amend"/>
    <w:link w:val="AS-P-AmendChar"/>
    <w:rsid w:val="00382271"/>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382271"/>
    <w:rPr>
      <w:rFonts w:ascii="Times New Roman" w:eastAsia="Times New Roman" w:hAnsi="Times New Roman" w:cs="Times New Roman"/>
      <w:noProof/>
    </w:rPr>
  </w:style>
  <w:style w:type="character" w:customStyle="1" w:styleId="AS-P-AmendChar">
    <w:name w:val="AS-P-Amend Char"/>
    <w:basedOn w:val="AS-P0Char"/>
    <w:link w:val="AS-P-Amend"/>
    <w:rsid w:val="00382271"/>
    <w:rPr>
      <w:rFonts w:ascii="Arial" w:eastAsia="Times New Roman" w:hAnsi="Arial" w:cs="Arial"/>
      <w:b/>
      <w:noProof/>
      <w:color w:val="00B050"/>
      <w:sz w:val="18"/>
      <w:szCs w:val="18"/>
    </w:rPr>
  </w:style>
  <w:style w:type="paragraph" w:customStyle="1" w:styleId="AS-H1b">
    <w:name w:val="AS-H1b"/>
    <w:basedOn w:val="Normal"/>
    <w:link w:val="AS-H1bChar"/>
    <w:rsid w:val="00382271"/>
    <w:pPr>
      <w:jc w:val="center"/>
    </w:pPr>
    <w:rPr>
      <w:rFonts w:ascii="Arial" w:hAnsi="Arial" w:cs="Arial"/>
      <w:b/>
      <w:color w:val="000000"/>
      <w:sz w:val="24"/>
      <w:szCs w:val="24"/>
    </w:rPr>
  </w:style>
  <w:style w:type="character" w:customStyle="1" w:styleId="AS-H1bChar">
    <w:name w:val="AS-H1b Char"/>
    <w:basedOn w:val="AS-H2aChar"/>
    <w:link w:val="AS-H1b"/>
    <w:rsid w:val="00382271"/>
    <w:rPr>
      <w:rFonts w:ascii="Arial" w:hAnsi="Arial" w:cs="Arial"/>
      <w:b/>
      <w:noProof/>
      <w:color w:val="000000"/>
      <w:sz w:val="24"/>
      <w:szCs w:val="24"/>
    </w:rPr>
  </w:style>
  <w:style w:type="paragraph" w:customStyle="1" w:styleId="REG-H1b">
    <w:name w:val="REG-H1b"/>
    <w:link w:val="REG-H1bChar"/>
    <w:qFormat/>
    <w:rsid w:val="00382271"/>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382271"/>
    <w:rPr>
      <w:rFonts w:ascii="Times New Roman" w:eastAsia="Times New Roman" w:hAnsi="Times New Roman"/>
      <w:b/>
      <w:bCs/>
      <w:noProof/>
    </w:rPr>
  </w:style>
  <w:style w:type="paragraph" w:customStyle="1" w:styleId="TableParagraph">
    <w:name w:val="Table Paragraph"/>
    <w:basedOn w:val="Normal"/>
    <w:uiPriority w:val="1"/>
    <w:rsid w:val="00382271"/>
  </w:style>
  <w:style w:type="table" w:customStyle="1" w:styleId="TableGrid0">
    <w:name w:val="TableGrid"/>
    <w:rsid w:val="00382271"/>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382271"/>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382271"/>
    <w:rPr>
      <w:rFonts w:ascii="Arial" w:hAnsi="Arial"/>
      <w:b/>
      <w:noProof/>
      <w:sz w:val="28"/>
      <w:szCs w:val="24"/>
    </w:rPr>
  </w:style>
  <w:style w:type="character" w:customStyle="1" w:styleId="REG-H1cChar">
    <w:name w:val="REG-H1c Char"/>
    <w:basedOn w:val="REG-H1bChar"/>
    <w:link w:val="REG-H1c"/>
    <w:rsid w:val="00382271"/>
    <w:rPr>
      <w:rFonts w:ascii="Arial" w:hAnsi="Arial"/>
      <w:b/>
      <w:noProof/>
      <w:sz w:val="24"/>
      <w:szCs w:val="24"/>
    </w:rPr>
  </w:style>
  <w:style w:type="paragraph" w:customStyle="1" w:styleId="REG-PHA">
    <w:name w:val="REG-PH(A)"/>
    <w:link w:val="REG-PHAChar"/>
    <w:qFormat/>
    <w:rsid w:val="00382271"/>
    <w:pPr>
      <w:spacing w:after="0" w:line="240" w:lineRule="auto"/>
      <w:jc w:val="center"/>
    </w:pPr>
    <w:rPr>
      <w:rFonts w:ascii="Arial" w:hAnsi="Arial"/>
      <w:b/>
      <w:caps/>
      <w:noProof/>
      <w:sz w:val="16"/>
      <w:szCs w:val="24"/>
    </w:rPr>
  </w:style>
  <w:style w:type="paragraph" w:customStyle="1" w:styleId="REG-PHb">
    <w:name w:val="REG-PH(b)"/>
    <w:link w:val="REG-PHbChar"/>
    <w:qFormat/>
    <w:rsid w:val="00382271"/>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382271"/>
    <w:rPr>
      <w:rFonts w:ascii="Arial" w:hAnsi="Arial"/>
      <w:b/>
      <w:caps/>
      <w:noProof/>
      <w:sz w:val="16"/>
      <w:szCs w:val="24"/>
    </w:rPr>
  </w:style>
  <w:style w:type="character" w:customStyle="1" w:styleId="REG-PHbChar">
    <w:name w:val="REG-PH(b) Char"/>
    <w:basedOn w:val="REG-H1bChar"/>
    <w:link w:val="REG-PHb"/>
    <w:rsid w:val="00382271"/>
    <w:rPr>
      <w:rFonts w:ascii="Arial" w:hAnsi="Arial" w:cs="Arial"/>
      <w:b/>
      <w:noProof/>
      <w:sz w:val="16"/>
      <w:szCs w:val="16"/>
    </w:rPr>
  </w:style>
  <w:style w:type="character" w:styleId="Hyperlink">
    <w:name w:val="Hyperlink"/>
    <w:uiPriority w:val="99"/>
    <w:rsid w:val="003443EF"/>
    <w:rPr>
      <w:rFonts w:ascii="Arial" w:hAnsi="Arial" w:cs="Times New Roman"/>
      <w:color w:val="00B050"/>
      <w:sz w:val="18"/>
      <w:u w:val="single"/>
    </w:rPr>
  </w:style>
  <w:style w:type="character" w:styleId="FollowedHyperlink">
    <w:name w:val="FollowedHyperlink"/>
    <w:basedOn w:val="DefaultParagraphFont"/>
    <w:uiPriority w:val="99"/>
    <w:semiHidden/>
    <w:unhideWhenUsed/>
    <w:rsid w:val="003443EF"/>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lac.org.na/laws/1990/117.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c.org.na/laws/1993/741.pdf" TargetMode="Externa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64C73-5BDC-4AAD-A32E-5B5EA7AE4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220</TotalTime>
  <Pages>6</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Legal Practitioners Act 15 of 1995-Regulations 1993-136</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Practitioners Act 15 of 1995-Regulations 1993-136</dc:title>
  <dc:creator>LAC</dc:creator>
  <cp:lastModifiedBy>Dianne Hubbard</cp:lastModifiedBy>
  <cp:revision>24</cp:revision>
  <dcterms:created xsi:type="dcterms:W3CDTF">2015-10-06T18:43:00Z</dcterms:created>
  <dcterms:modified xsi:type="dcterms:W3CDTF">2022-06-02T12:15:00Z</dcterms:modified>
</cp:coreProperties>
</file>