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A6202" w14:textId="77777777" w:rsidR="00D721E9" w:rsidRPr="00C877AE" w:rsidRDefault="00AF321A" w:rsidP="0098007E">
      <w:pPr>
        <w:pStyle w:val="REG-H1a"/>
      </w:pPr>
      <w:r w:rsidRPr="00C877AE">
        <w:rPr>
          <w:lang w:val="en-ZA" w:eastAsia="en-ZA"/>
        </w:rPr>
        <w:drawing>
          <wp:anchor distT="0" distB="0" distL="114300" distR="114300" simplePos="0" relativeHeight="251658240" behindDoc="0" locked="1" layoutInCell="0" allowOverlap="0" wp14:anchorId="6F6BEDF7" wp14:editId="1A951092">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ADED4CB" w14:textId="77777777" w:rsidR="00EB7655" w:rsidRPr="00C877AE" w:rsidRDefault="00D2019F" w:rsidP="0098007E">
      <w:pPr>
        <w:pStyle w:val="REG-H1d"/>
        <w:rPr>
          <w:lang w:val="en-GB"/>
        </w:rPr>
      </w:pPr>
      <w:r w:rsidRPr="00C877AE">
        <w:rPr>
          <w:lang w:val="en-GB"/>
        </w:rPr>
        <w:t>REGULATIONS MADE IN TERMS OF</w:t>
      </w:r>
    </w:p>
    <w:p w14:paraId="3196696E" w14:textId="77777777" w:rsidR="00E2335D" w:rsidRPr="00C877AE" w:rsidRDefault="00E2335D" w:rsidP="0098007E">
      <w:pPr>
        <w:pStyle w:val="REG-H1d"/>
        <w:rPr>
          <w:lang w:val="en-GB"/>
        </w:rPr>
      </w:pPr>
    </w:p>
    <w:p w14:paraId="72577A33" w14:textId="37BC42C0" w:rsidR="00E2335D" w:rsidRPr="00C877AE" w:rsidRDefault="003E23AA" w:rsidP="0098007E">
      <w:pPr>
        <w:pStyle w:val="REG-H1a"/>
      </w:pPr>
      <w:r w:rsidRPr="00C877AE">
        <w:t xml:space="preserve">Atomic Energy and Radiation Protection </w:t>
      </w:r>
      <w:r w:rsidR="008A4959" w:rsidRPr="00C877AE">
        <w:br/>
      </w:r>
      <w:r w:rsidRPr="00C877AE">
        <w:t xml:space="preserve">Act </w:t>
      </w:r>
      <w:r w:rsidR="008A4959" w:rsidRPr="00C877AE">
        <w:t xml:space="preserve">5 of </w:t>
      </w:r>
      <w:r w:rsidRPr="00C877AE">
        <w:t>2005</w:t>
      </w:r>
    </w:p>
    <w:p w14:paraId="20F7DD2E" w14:textId="77777777" w:rsidR="00BD2B69" w:rsidRPr="00C877AE" w:rsidRDefault="00D924D5" w:rsidP="0098007E">
      <w:pPr>
        <w:pStyle w:val="REG-H1b"/>
        <w:rPr>
          <w:b w:val="0"/>
        </w:rPr>
      </w:pPr>
      <w:r w:rsidRPr="00C877AE">
        <w:rPr>
          <w:b w:val="0"/>
        </w:rPr>
        <w:t>s</w:t>
      </w:r>
      <w:r w:rsidR="00BD2B69" w:rsidRPr="00C877AE">
        <w:rPr>
          <w:b w:val="0"/>
        </w:rPr>
        <w:t xml:space="preserve">ection </w:t>
      </w:r>
      <w:r w:rsidR="003E23AA" w:rsidRPr="00C877AE">
        <w:rPr>
          <w:b w:val="0"/>
        </w:rPr>
        <w:t>43</w:t>
      </w:r>
      <w:r w:rsidR="00BC6658" w:rsidRPr="00C877AE">
        <w:rPr>
          <w:b w:val="0"/>
        </w:rPr>
        <w:t>(</w:t>
      </w:r>
      <w:r w:rsidR="003E23AA" w:rsidRPr="00C877AE">
        <w:rPr>
          <w:b w:val="0"/>
        </w:rPr>
        <w:t>1</w:t>
      </w:r>
      <w:r w:rsidR="00BC6658" w:rsidRPr="00C877AE">
        <w:rPr>
          <w:b w:val="0"/>
        </w:rPr>
        <w:t>)</w:t>
      </w:r>
    </w:p>
    <w:p w14:paraId="5FED01DB" w14:textId="77777777" w:rsidR="00E2335D" w:rsidRPr="00C877AE" w:rsidRDefault="00E2335D" w:rsidP="0098007E">
      <w:pPr>
        <w:pStyle w:val="REG-H1a"/>
        <w:pBdr>
          <w:bottom w:val="single" w:sz="4" w:space="1" w:color="auto"/>
        </w:pBdr>
      </w:pPr>
    </w:p>
    <w:p w14:paraId="226D07BA" w14:textId="77777777" w:rsidR="00E2335D" w:rsidRPr="00C877AE" w:rsidRDefault="00E2335D" w:rsidP="0098007E">
      <w:pPr>
        <w:pStyle w:val="REG-H1a"/>
      </w:pPr>
    </w:p>
    <w:p w14:paraId="7A1C9B5F" w14:textId="561A9B11" w:rsidR="008A4959" w:rsidRPr="00C877AE" w:rsidRDefault="00C24F4A" w:rsidP="0098007E">
      <w:pPr>
        <w:pStyle w:val="REG-H1d"/>
        <w:rPr>
          <w:rFonts w:cstheme="minorBidi"/>
          <w:b/>
          <w:color w:val="auto"/>
          <w:sz w:val="28"/>
          <w:lang w:val="en-GB"/>
        </w:rPr>
      </w:pPr>
      <w:r>
        <w:rPr>
          <w:rFonts w:cstheme="minorBidi"/>
          <w:b/>
          <w:color w:val="auto"/>
          <w:sz w:val="28"/>
          <w:lang w:val="en-GB"/>
        </w:rPr>
        <w:t>Non-Ionising Radiation</w:t>
      </w:r>
      <w:r w:rsidR="008A4959" w:rsidRPr="00C877AE">
        <w:rPr>
          <w:rFonts w:cstheme="minorBidi"/>
          <w:b/>
          <w:color w:val="auto"/>
          <w:sz w:val="28"/>
          <w:lang w:val="en-GB"/>
        </w:rPr>
        <w:t xml:space="preserve"> Regulations</w:t>
      </w:r>
    </w:p>
    <w:p w14:paraId="3E43B9F2" w14:textId="17704F7B" w:rsidR="00D2019F" w:rsidRPr="00C877AE" w:rsidRDefault="00BD2B69" w:rsidP="0098007E">
      <w:pPr>
        <w:pStyle w:val="REG-H1d"/>
        <w:rPr>
          <w:lang w:val="en-GB"/>
        </w:rPr>
      </w:pPr>
      <w:r w:rsidRPr="00C877AE">
        <w:rPr>
          <w:lang w:val="en-GB"/>
        </w:rPr>
        <w:t xml:space="preserve">Government Notice </w:t>
      </w:r>
      <w:r w:rsidR="00C24F4A">
        <w:rPr>
          <w:lang w:val="en-GB"/>
        </w:rPr>
        <w:t>126</w:t>
      </w:r>
      <w:r w:rsidR="005709A6" w:rsidRPr="00C877AE">
        <w:rPr>
          <w:lang w:val="en-GB"/>
        </w:rPr>
        <w:t xml:space="preserve"> </w:t>
      </w:r>
      <w:r w:rsidR="005C16B3" w:rsidRPr="00C877AE">
        <w:rPr>
          <w:lang w:val="en-GB"/>
        </w:rPr>
        <w:t>of</w:t>
      </w:r>
      <w:r w:rsidR="005709A6" w:rsidRPr="00C877AE">
        <w:rPr>
          <w:lang w:val="en-GB"/>
        </w:rPr>
        <w:t xml:space="preserve"> </w:t>
      </w:r>
      <w:r w:rsidR="00C24F4A">
        <w:rPr>
          <w:lang w:val="en-GB"/>
        </w:rPr>
        <w:t>2020</w:t>
      </w:r>
    </w:p>
    <w:p w14:paraId="474143C4" w14:textId="7FB27EBE" w:rsidR="003013D8" w:rsidRPr="00C877AE" w:rsidRDefault="003013D8" w:rsidP="0098007E">
      <w:pPr>
        <w:pStyle w:val="REG-Amend"/>
      </w:pPr>
      <w:r w:rsidRPr="00C877AE">
        <w:t>(</w:t>
      </w:r>
      <w:hyperlink r:id="rId9" w:history="1">
        <w:r w:rsidR="00903DCA" w:rsidRPr="000910E7">
          <w:rPr>
            <w:rStyle w:val="Hyperlink"/>
          </w:rPr>
          <w:t>GG 7228</w:t>
        </w:r>
      </w:hyperlink>
      <w:r w:rsidRPr="00C877AE">
        <w:t>)</w:t>
      </w:r>
    </w:p>
    <w:p w14:paraId="2DD1A1A7" w14:textId="460D1445" w:rsidR="003013D8" w:rsidRDefault="003013D8" w:rsidP="0098007E">
      <w:pPr>
        <w:pStyle w:val="REG-Amend"/>
      </w:pPr>
      <w:r w:rsidRPr="00C877AE">
        <w:t xml:space="preserve">came into force on date of publication: </w:t>
      </w:r>
      <w:r w:rsidR="00C24F4A">
        <w:t>4 June 2020</w:t>
      </w:r>
    </w:p>
    <w:p w14:paraId="19D00371" w14:textId="77777777" w:rsidR="00C139FC" w:rsidRDefault="00C139FC" w:rsidP="0098007E">
      <w:pPr>
        <w:pStyle w:val="REG-Amend"/>
      </w:pPr>
    </w:p>
    <w:p w14:paraId="191DE30D" w14:textId="72A59424" w:rsidR="00F32C79" w:rsidRPr="00C877AE" w:rsidRDefault="00F32C79" w:rsidP="0098007E">
      <w:pPr>
        <w:pStyle w:val="REG-Amend"/>
        <w:rPr>
          <w:b w:val="0"/>
        </w:rPr>
      </w:pPr>
      <w:r w:rsidRPr="00C877AE">
        <w:t>The Government Notice</w:t>
      </w:r>
      <w:r w:rsidR="00C24F4A">
        <w:t xml:space="preserve"> which publishes</w:t>
      </w:r>
      <w:r w:rsidRPr="00C877AE">
        <w:t xml:space="preserve"> these regulations notes that they </w:t>
      </w:r>
      <w:r w:rsidRPr="00C877AE">
        <w:br/>
        <w:t>were made on the recommendation of the Atomic Energy Board</w:t>
      </w:r>
      <w:r w:rsidR="00D70AC2" w:rsidRPr="00C877AE">
        <w:t>.</w:t>
      </w:r>
    </w:p>
    <w:p w14:paraId="5E334946" w14:textId="29529369" w:rsidR="001121EE" w:rsidRPr="00C877AE" w:rsidRDefault="001121EE" w:rsidP="0098007E">
      <w:pPr>
        <w:pStyle w:val="REG-H1a"/>
        <w:pBdr>
          <w:bottom w:val="single" w:sz="4" w:space="1" w:color="auto"/>
        </w:pBdr>
      </w:pPr>
    </w:p>
    <w:p w14:paraId="5FEDE708" w14:textId="77777777" w:rsidR="001D19EE" w:rsidRPr="00C877AE" w:rsidRDefault="001D19EE" w:rsidP="0098007E">
      <w:pPr>
        <w:pStyle w:val="REG-H1a"/>
      </w:pPr>
    </w:p>
    <w:p w14:paraId="708EF8D0" w14:textId="77777777" w:rsidR="00C63501" w:rsidRPr="0072128F" w:rsidRDefault="008938F7" w:rsidP="0098007E">
      <w:pPr>
        <w:pStyle w:val="REG-H3A"/>
        <w:rPr>
          <w:b w:val="0"/>
          <w:bCs/>
          <w:color w:val="000000" w:themeColor="text1"/>
        </w:rPr>
      </w:pPr>
      <w:r w:rsidRPr="0072128F">
        <w:rPr>
          <w:b w:val="0"/>
          <w:bCs/>
          <w:color w:val="000000" w:themeColor="text1"/>
        </w:rPr>
        <w:t xml:space="preserve">ARRANGEMENT OF </w:t>
      </w:r>
      <w:r w:rsidR="00C11092" w:rsidRPr="0072128F">
        <w:rPr>
          <w:b w:val="0"/>
          <w:bCs/>
          <w:color w:val="000000" w:themeColor="text1"/>
        </w:rPr>
        <w:t>REGULATIONS</w:t>
      </w:r>
    </w:p>
    <w:p w14:paraId="6E5CD7A8" w14:textId="77777777" w:rsidR="006C3F4A" w:rsidRPr="00C877AE" w:rsidRDefault="006C3F4A" w:rsidP="0098007E">
      <w:pPr>
        <w:pStyle w:val="REG-P0"/>
        <w:rPr>
          <w:b/>
          <w:color w:val="000000" w:themeColor="text1"/>
        </w:rPr>
      </w:pPr>
    </w:p>
    <w:p w14:paraId="7ACA302E" w14:textId="0AB74FEE" w:rsidR="006C3F4A" w:rsidRDefault="00D55DE0" w:rsidP="0098007E">
      <w:pPr>
        <w:pStyle w:val="REG-P0"/>
        <w:rPr>
          <w:color w:val="000000" w:themeColor="text1"/>
        </w:rPr>
      </w:pPr>
      <w:r w:rsidRPr="00C877AE">
        <w:rPr>
          <w:color w:val="000000" w:themeColor="text1"/>
        </w:rPr>
        <w:t>1.</w:t>
      </w:r>
      <w:r w:rsidRPr="00C877AE">
        <w:rPr>
          <w:color w:val="000000" w:themeColor="text1"/>
        </w:rPr>
        <w:tab/>
      </w:r>
      <w:r w:rsidR="00C24F4A">
        <w:rPr>
          <w:color w:val="000000" w:themeColor="text1"/>
        </w:rPr>
        <w:t>Definitions</w:t>
      </w:r>
    </w:p>
    <w:p w14:paraId="35E7B4D9" w14:textId="77777777" w:rsidR="00C24F4A" w:rsidRDefault="00C24F4A" w:rsidP="0098007E">
      <w:pPr>
        <w:pStyle w:val="REG-P0"/>
        <w:rPr>
          <w:color w:val="000000" w:themeColor="text1"/>
        </w:rPr>
      </w:pPr>
      <w:r w:rsidRPr="00C24F4A">
        <w:rPr>
          <w:color w:val="000000" w:themeColor="text1"/>
        </w:rPr>
        <w:t xml:space="preserve">2. </w:t>
      </w:r>
      <w:r>
        <w:rPr>
          <w:color w:val="000000" w:themeColor="text1"/>
        </w:rPr>
        <w:tab/>
      </w:r>
      <w:r w:rsidRPr="00C24F4A">
        <w:rPr>
          <w:color w:val="000000" w:themeColor="text1"/>
        </w:rPr>
        <w:t xml:space="preserve">Application </w:t>
      </w:r>
    </w:p>
    <w:p w14:paraId="0302B9BF" w14:textId="77777777" w:rsidR="00C24F4A" w:rsidRDefault="00C24F4A" w:rsidP="0098007E">
      <w:pPr>
        <w:pStyle w:val="REG-P0"/>
        <w:rPr>
          <w:color w:val="000000" w:themeColor="text1"/>
        </w:rPr>
      </w:pPr>
      <w:r w:rsidRPr="00C24F4A">
        <w:rPr>
          <w:color w:val="000000" w:themeColor="text1"/>
        </w:rPr>
        <w:t xml:space="preserve">3. </w:t>
      </w:r>
      <w:r>
        <w:rPr>
          <w:color w:val="000000" w:themeColor="text1"/>
        </w:rPr>
        <w:tab/>
      </w:r>
      <w:r w:rsidRPr="00C24F4A">
        <w:rPr>
          <w:color w:val="000000" w:themeColor="text1"/>
        </w:rPr>
        <w:t>Purpose</w:t>
      </w:r>
    </w:p>
    <w:p w14:paraId="7D9B246A" w14:textId="77777777" w:rsidR="00C24F4A" w:rsidRDefault="00C24F4A" w:rsidP="0098007E">
      <w:pPr>
        <w:pStyle w:val="REG-P0"/>
        <w:rPr>
          <w:color w:val="000000" w:themeColor="text1"/>
        </w:rPr>
      </w:pPr>
      <w:r w:rsidRPr="00C24F4A">
        <w:rPr>
          <w:color w:val="000000" w:themeColor="text1"/>
        </w:rPr>
        <w:t xml:space="preserve">4. </w:t>
      </w:r>
      <w:r>
        <w:rPr>
          <w:color w:val="000000" w:themeColor="text1"/>
        </w:rPr>
        <w:tab/>
      </w:r>
      <w:r w:rsidRPr="00C24F4A">
        <w:rPr>
          <w:color w:val="000000" w:themeColor="text1"/>
        </w:rPr>
        <w:t xml:space="preserve">Registration of non-ionising radiation sources </w:t>
      </w:r>
    </w:p>
    <w:p w14:paraId="1C800509" w14:textId="77777777" w:rsidR="00C24F4A" w:rsidRDefault="00C24F4A" w:rsidP="0098007E">
      <w:pPr>
        <w:pStyle w:val="REG-P0"/>
        <w:rPr>
          <w:color w:val="000000" w:themeColor="text1"/>
        </w:rPr>
      </w:pPr>
      <w:r w:rsidRPr="00C24F4A">
        <w:rPr>
          <w:color w:val="000000" w:themeColor="text1"/>
        </w:rPr>
        <w:t xml:space="preserve">5. </w:t>
      </w:r>
      <w:r>
        <w:rPr>
          <w:color w:val="000000" w:themeColor="text1"/>
        </w:rPr>
        <w:tab/>
      </w:r>
      <w:r w:rsidRPr="00C24F4A">
        <w:rPr>
          <w:color w:val="000000" w:themeColor="text1"/>
        </w:rPr>
        <w:t xml:space="preserve">Application for licence </w:t>
      </w:r>
    </w:p>
    <w:p w14:paraId="5F8D1822" w14:textId="77777777" w:rsidR="00C24F4A" w:rsidRDefault="00C24F4A" w:rsidP="0098007E">
      <w:pPr>
        <w:pStyle w:val="REG-P0"/>
        <w:rPr>
          <w:color w:val="000000" w:themeColor="text1"/>
        </w:rPr>
      </w:pPr>
      <w:r w:rsidRPr="00C24F4A">
        <w:rPr>
          <w:color w:val="000000" w:themeColor="text1"/>
        </w:rPr>
        <w:t xml:space="preserve">6. </w:t>
      </w:r>
      <w:r>
        <w:rPr>
          <w:color w:val="000000" w:themeColor="text1"/>
        </w:rPr>
        <w:tab/>
      </w:r>
      <w:r w:rsidRPr="00C24F4A">
        <w:rPr>
          <w:color w:val="000000" w:themeColor="text1"/>
        </w:rPr>
        <w:t xml:space="preserve">Non-ionising radiation exposure limits </w:t>
      </w:r>
    </w:p>
    <w:p w14:paraId="358204CD" w14:textId="33E80142" w:rsidR="00C24F4A" w:rsidRDefault="00C24F4A" w:rsidP="0098007E">
      <w:pPr>
        <w:pStyle w:val="REG-P0"/>
        <w:rPr>
          <w:color w:val="000000" w:themeColor="text1"/>
        </w:rPr>
      </w:pPr>
      <w:r w:rsidRPr="00C24F4A">
        <w:rPr>
          <w:color w:val="000000" w:themeColor="text1"/>
        </w:rPr>
        <w:t xml:space="preserve">7. </w:t>
      </w:r>
      <w:r>
        <w:rPr>
          <w:color w:val="000000" w:themeColor="text1"/>
        </w:rPr>
        <w:tab/>
      </w:r>
      <w:r w:rsidRPr="00C24F4A">
        <w:rPr>
          <w:color w:val="000000" w:themeColor="text1"/>
        </w:rPr>
        <w:t>Public exposure protection</w:t>
      </w:r>
    </w:p>
    <w:p w14:paraId="020F15FD" w14:textId="77777777" w:rsidR="00C24F4A" w:rsidRDefault="00C24F4A" w:rsidP="0098007E">
      <w:pPr>
        <w:pStyle w:val="REG-P0"/>
        <w:rPr>
          <w:color w:val="000000" w:themeColor="text1"/>
        </w:rPr>
      </w:pPr>
      <w:r w:rsidRPr="00C24F4A">
        <w:rPr>
          <w:color w:val="000000" w:themeColor="text1"/>
        </w:rPr>
        <w:t xml:space="preserve">8. </w:t>
      </w:r>
      <w:r>
        <w:rPr>
          <w:color w:val="000000" w:themeColor="text1"/>
        </w:rPr>
        <w:tab/>
      </w:r>
      <w:r w:rsidRPr="00C24F4A">
        <w:rPr>
          <w:color w:val="000000" w:themeColor="text1"/>
        </w:rPr>
        <w:t xml:space="preserve">Occupational exposure protection </w:t>
      </w:r>
    </w:p>
    <w:p w14:paraId="636B1869" w14:textId="77777777" w:rsidR="00C24F4A" w:rsidRDefault="00C24F4A" w:rsidP="0098007E">
      <w:pPr>
        <w:pStyle w:val="REG-P0"/>
        <w:rPr>
          <w:color w:val="000000" w:themeColor="text1"/>
        </w:rPr>
      </w:pPr>
      <w:r w:rsidRPr="00C24F4A">
        <w:rPr>
          <w:color w:val="000000" w:themeColor="text1"/>
        </w:rPr>
        <w:t xml:space="preserve">9. </w:t>
      </w:r>
      <w:r>
        <w:rPr>
          <w:color w:val="000000" w:themeColor="text1"/>
        </w:rPr>
        <w:tab/>
      </w:r>
      <w:r w:rsidRPr="00C24F4A">
        <w:rPr>
          <w:color w:val="000000" w:themeColor="text1"/>
        </w:rPr>
        <w:t xml:space="preserve">Compliance </w:t>
      </w:r>
    </w:p>
    <w:p w14:paraId="66DDEAFC" w14:textId="77777777" w:rsidR="00C24F4A" w:rsidRDefault="00C24F4A" w:rsidP="0098007E">
      <w:pPr>
        <w:pStyle w:val="REG-P0"/>
        <w:rPr>
          <w:color w:val="000000" w:themeColor="text1"/>
        </w:rPr>
      </w:pPr>
      <w:r w:rsidRPr="00C24F4A">
        <w:rPr>
          <w:color w:val="000000" w:themeColor="text1"/>
        </w:rPr>
        <w:t xml:space="preserve">10. </w:t>
      </w:r>
      <w:r>
        <w:rPr>
          <w:color w:val="000000" w:themeColor="text1"/>
        </w:rPr>
        <w:tab/>
      </w:r>
      <w:r w:rsidRPr="00C24F4A">
        <w:rPr>
          <w:color w:val="000000" w:themeColor="text1"/>
        </w:rPr>
        <w:t xml:space="preserve">Reporting and management </w:t>
      </w:r>
    </w:p>
    <w:p w14:paraId="328BAAF4" w14:textId="77777777" w:rsidR="00C24F4A" w:rsidRDefault="00C24F4A" w:rsidP="0098007E">
      <w:pPr>
        <w:pStyle w:val="REG-P0"/>
        <w:rPr>
          <w:color w:val="000000" w:themeColor="text1"/>
        </w:rPr>
      </w:pPr>
    </w:p>
    <w:p w14:paraId="6F1160EC" w14:textId="0F17802C" w:rsidR="00C24F4A" w:rsidRDefault="00C24F4A" w:rsidP="00C139FC">
      <w:pPr>
        <w:pStyle w:val="REG-P0"/>
        <w:ind w:left="567"/>
        <w:rPr>
          <w:color w:val="000000" w:themeColor="text1"/>
        </w:rPr>
      </w:pPr>
      <w:r w:rsidRPr="00C24F4A">
        <w:rPr>
          <w:color w:val="000000" w:themeColor="text1"/>
        </w:rPr>
        <w:t xml:space="preserve">Annexure: </w:t>
      </w:r>
      <w:r>
        <w:rPr>
          <w:color w:val="000000" w:themeColor="text1"/>
        </w:rPr>
        <w:tab/>
      </w:r>
      <w:r w:rsidRPr="00C24F4A">
        <w:rPr>
          <w:color w:val="000000" w:themeColor="text1"/>
        </w:rPr>
        <w:t xml:space="preserve">Table 1: Basic Restrictions - Public Exposure </w:t>
      </w:r>
    </w:p>
    <w:p w14:paraId="7E28A950" w14:textId="5693CB01" w:rsidR="00C24F4A" w:rsidRDefault="00C24F4A" w:rsidP="00C139FC">
      <w:pPr>
        <w:pStyle w:val="REG-P0"/>
        <w:ind w:left="1701"/>
        <w:rPr>
          <w:color w:val="000000" w:themeColor="text1"/>
        </w:rPr>
      </w:pPr>
      <w:r w:rsidRPr="00C24F4A">
        <w:rPr>
          <w:color w:val="000000" w:themeColor="text1"/>
        </w:rPr>
        <w:t xml:space="preserve">Table 2: Reference Levels - Public Exposure </w:t>
      </w:r>
    </w:p>
    <w:p w14:paraId="0DA7385D" w14:textId="52B67E85" w:rsidR="00C24F4A" w:rsidRDefault="00C24F4A" w:rsidP="00C139FC">
      <w:pPr>
        <w:pStyle w:val="REG-P0"/>
        <w:ind w:left="1701"/>
        <w:rPr>
          <w:color w:val="000000" w:themeColor="text1"/>
        </w:rPr>
      </w:pPr>
      <w:r w:rsidRPr="00C24F4A">
        <w:rPr>
          <w:color w:val="000000" w:themeColor="text1"/>
        </w:rPr>
        <w:t xml:space="preserve">Table 3: Basic Restrictions - Occupational Exposure </w:t>
      </w:r>
    </w:p>
    <w:p w14:paraId="39A74122" w14:textId="7E737442" w:rsidR="006C3F4A" w:rsidRPr="00C877AE" w:rsidRDefault="00C24F4A" w:rsidP="00C139FC">
      <w:pPr>
        <w:pStyle w:val="REG-P0"/>
        <w:ind w:left="1701"/>
        <w:rPr>
          <w:color w:val="000000" w:themeColor="text1"/>
        </w:rPr>
      </w:pPr>
      <w:r w:rsidRPr="00C24F4A">
        <w:rPr>
          <w:color w:val="000000" w:themeColor="text1"/>
        </w:rPr>
        <w:t>Table 4: Reference Levels - Occupational Exposure</w:t>
      </w:r>
    </w:p>
    <w:p w14:paraId="5548AC94" w14:textId="77777777" w:rsidR="00FA7FE6" w:rsidRPr="00C877AE" w:rsidRDefault="00FA7FE6" w:rsidP="0098007E">
      <w:pPr>
        <w:pStyle w:val="REG-H1a"/>
        <w:pBdr>
          <w:bottom w:val="single" w:sz="4" w:space="1" w:color="auto"/>
        </w:pBdr>
      </w:pPr>
    </w:p>
    <w:p w14:paraId="62CCF260" w14:textId="77777777" w:rsidR="00ED36CD" w:rsidRDefault="00ED36CD" w:rsidP="006274AC">
      <w:pPr>
        <w:pStyle w:val="REG-H1a"/>
      </w:pPr>
    </w:p>
    <w:p w14:paraId="5FAA827C" w14:textId="740444B6" w:rsidR="00C24F4A" w:rsidRDefault="00C24F4A" w:rsidP="00C24F4A">
      <w:pPr>
        <w:pStyle w:val="REG-P0"/>
        <w:rPr>
          <w:b/>
        </w:rPr>
      </w:pPr>
      <w:r w:rsidRPr="00C24F4A">
        <w:rPr>
          <w:b/>
        </w:rPr>
        <w:lastRenderedPageBreak/>
        <w:t xml:space="preserve">Definitions </w:t>
      </w:r>
    </w:p>
    <w:p w14:paraId="20F52E08" w14:textId="77777777" w:rsidR="00C24F4A" w:rsidRDefault="00C24F4A" w:rsidP="00C24F4A">
      <w:pPr>
        <w:pStyle w:val="REG-P0"/>
        <w:rPr>
          <w:b/>
        </w:rPr>
      </w:pPr>
    </w:p>
    <w:p w14:paraId="46867A4A" w14:textId="6BA4EE82" w:rsidR="00C24F4A" w:rsidRDefault="00C24F4A" w:rsidP="00FB3F64">
      <w:pPr>
        <w:pStyle w:val="REG-P1"/>
      </w:pPr>
      <w:r w:rsidRPr="00C24F4A">
        <w:rPr>
          <w:b/>
        </w:rPr>
        <w:t>1.</w:t>
      </w:r>
      <w:r>
        <w:rPr>
          <w:b/>
        </w:rPr>
        <w:tab/>
      </w:r>
      <w:r w:rsidRPr="00C24F4A">
        <w:t xml:space="preserve"> In these regulations a word or an expression to which a meaning has been assigned in the Act has that meaning, and unless the context otherwise indicates </w:t>
      </w:r>
      <w:r w:rsidR="00FB3F64">
        <w:t>-</w:t>
      </w:r>
      <w:r w:rsidRPr="00C24F4A">
        <w:t xml:space="preserve"> </w:t>
      </w:r>
    </w:p>
    <w:p w14:paraId="7CB96FFA" w14:textId="77777777" w:rsidR="00C24F4A" w:rsidRDefault="00C24F4A" w:rsidP="00C24F4A">
      <w:pPr>
        <w:pStyle w:val="REG-P0"/>
      </w:pPr>
    </w:p>
    <w:p w14:paraId="7109B45E" w14:textId="77777777" w:rsidR="00C24F4A" w:rsidRDefault="00C24F4A" w:rsidP="00C24F4A">
      <w:pPr>
        <w:pStyle w:val="REG-P0"/>
      </w:pPr>
      <w:r w:rsidRPr="00C24F4A">
        <w:t xml:space="preserve">“adverse health effect” means a biological effect that has a short or long term detrimental effect on mental, physical or general wellbeing of exposed people; </w:t>
      </w:r>
    </w:p>
    <w:p w14:paraId="2BA70F42" w14:textId="77777777" w:rsidR="00C24F4A" w:rsidRDefault="00C24F4A" w:rsidP="00C24F4A">
      <w:pPr>
        <w:pStyle w:val="REG-P0"/>
      </w:pPr>
    </w:p>
    <w:p w14:paraId="430132FD" w14:textId="77777777" w:rsidR="00C24F4A" w:rsidRDefault="00C24F4A" w:rsidP="00C24F4A">
      <w:pPr>
        <w:pStyle w:val="REG-P0"/>
      </w:pPr>
      <w:r w:rsidRPr="00C24F4A">
        <w:t xml:space="preserve">“basic restrictions” means restrictions on exposure to non-ionising radiation that are based on established health effects; </w:t>
      </w:r>
    </w:p>
    <w:p w14:paraId="51B72CCD" w14:textId="77777777" w:rsidR="00C24F4A" w:rsidRDefault="00C24F4A" w:rsidP="00C24F4A">
      <w:pPr>
        <w:pStyle w:val="REG-P0"/>
      </w:pPr>
    </w:p>
    <w:p w14:paraId="7B3E8D8F" w14:textId="77777777" w:rsidR="00C24F4A" w:rsidRDefault="00C24F4A" w:rsidP="00C24F4A">
      <w:pPr>
        <w:pStyle w:val="REG-P0"/>
      </w:pPr>
      <w:r w:rsidRPr="00C24F4A">
        <w:t xml:space="preserve">“declaration of compliance” means a document signed by a supplier or manufacturer that attests that a device or an installation to which the declaration refers meets the requirements of these regulations; </w:t>
      </w:r>
    </w:p>
    <w:p w14:paraId="37F336C8" w14:textId="77777777" w:rsidR="00C24F4A" w:rsidRDefault="00C24F4A" w:rsidP="00C24F4A">
      <w:pPr>
        <w:pStyle w:val="REG-P0"/>
      </w:pPr>
    </w:p>
    <w:p w14:paraId="1D29D801" w14:textId="77777777" w:rsidR="00C24F4A" w:rsidRDefault="00C24F4A" w:rsidP="00C24F4A">
      <w:pPr>
        <w:pStyle w:val="REG-P0"/>
      </w:pPr>
      <w:r w:rsidRPr="00C24F4A">
        <w:t>“device” means a manufactured product that emits non-ionising radiation;</w:t>
      </w:r>
    </w:p>
    <w:p w14:paraId="4D5FC8BD" w14:textId="77777777" w:rsidR="00C24F4A" w:rsidRDefault="00C24F4A" w:rsidP="00C24F4A">
      <w:pPr>
        <w:pStyle w:val="REG-P0"/>
      </w:pPr>
    </w:p>
    <w:p w14:paraId="430354FC" w14:textId="77777777" w:rsidR="00C24F4A" w:rsidRDefault="00C24F4A" w:rsidP="00C24F4A">
      <w:pPr>
        <w:pStyle w:val="REG-P0"/>
      </w:pPr>
      <w:r w:rsidRPr="00C24F4A">
        <w:t>“exposure” means the subjection of a natural person to non-ionising radiation other than those originating from physiological processes in the human body and other natural phenomena;</w:t>
      </w:r>
    </w:p>
    <w:p w14:paraId="3E28A7BE" w14:textId="77777777" w:rsidR="00C24F4A" w:rsidRDefault="00C24F4A" w:rsidP="00C24F4A">
      <w:pPr>
        <w:pStyle w:val="REG-P0"/>
      </w:pPr>
    </w:p>
    <w:p w14:paraId="0314B5AC" w14:textId="77777777" w:rsidR="00C24F4A" w:rsidRDefault="00C24F4A" w:rsidP="00C24F4A">
      <w:pPr>
        <w:pStyle w:val="REG-P0"/>
      </w:pPr>
      <w:r w:rsidRPr="00C24F4A">
        <w:t xml:space="preserve">“health” means a state of complete physical, mental and social well-being and not merely the absence of disease or infirmity; </w:t>
      </w:r>
    </w:p>
    <w:p w14:paraId="6D134BE7" w14:textId="77777777" w:rsidR="00C24F4A" w:rsidRDefault="00C24F4A" w:rsidP="00C24F4A">
      <w:pPr>
        <w:pStyle w:val="REG-P0"/>
      </w:pPr>
    </w:p>
    <w:p w14:paraId="1853CE36" w14:textId="77777777" w:rsidR="00C24F4A" w:rsidRDefault="00C24F4A" w:rsidP="00C24F4A">
      <w:pPr>
        <w:pStyle w:val="REG-P0"/>
      </w:pPr>
      <w:r w:rsidRPr="00C24F4A">
        <w:t>“installation” means a construction that incorporates a non-ionising radiation source;</w:t>
      </w:r>
    </w:p>
    <w:p w14:paraId="3651BCF9" w14:textId="77777777" w:rsidR="00C24F4A" w:rsidRDefault="00C24F4A" w:rsidP="00C24F4A">
      <w:pPr>
        <w:pStyle w:val="REG-P0"/>
      </w:pPr>
    </w:p>
    <w:p w14:paraId="2F1BE394" w14:textId="77777777" w:rsidR="00C24F4A" w:rsidRDefault="00C24F4A" w:rsidP="00C24F4A">
      <w:pPr>
        <w:pStyle w:val="REG-P0"/>
      </w:pPr>
      <w:r w:rsidRPr="00C24F4A">
        <w:t xml:space="preserve">“licence”, in relation to non-ionising radiation, means a licence contemplated in section 16(1)(b) of the Act; </w:t>
      </w:r>
    </w:p>
    <w:p w14:paraId="17A6718A" w14:textId="77777777" w:rsidR="00C24F4A" w:rsidRDefault="00C24F4A" w:rsidP="00C24F4A">
      <w:pPr>
        <w:pStyle w:val="REG-P0"/>
      </w:pPr>
    </w:p>
    <w:p w14:paraId="675E7640" w14:textId="77777777" w:rsidR="00C24F4A" w:rsidRDefault="00C24F4A" w:rsidP="00C24F4A">
      <w:pPr>
        <w:pStyle w:val="REG-P0"/>
      </w:pPr>
      <w:r w:rsidRPr="00C24F4A">
        <w:t>“member of public” means a person who is not a worker under occupational exposure or a patient under medical exposure;</w:t>
      </w:r>
    </w:p>
    <w:p w14:paraId="3914C235" w14:textId="77777777" w:rsidR="00C24F4A" w:rsidRDefault="00C24F4A" w:rsidP="00C24F4A">
      <w:pPr>
        <w:pStyle w:val="REG-P0"/>
      </w:pPr>
    </w:p>
    <w:p w14:paraId="68832FB1" w14:textId="77777777" w:rsidR="00C24F4A" w:rsidRDefault="00C24F4A" w:rsidP="00C24F4A">
      <w:pPr>
        <w:pStyle w:val="REG-P0"/>
      </w:pPr>
      <w:r w:rsidRPr="00C24F4A">
        <w:t xml:space="preserve">“non-ionising radiation exposure limit” means an upper limit on human exposure to non-ionising radiation to protect against adverse physiological responses that are causally related to the fields and which limit is not intended to provide protection against other effects such as psychological arising from fear of such exposure; </w:t>
      </w:r>
    </w:p>
    <w:p w14:paraId="7A5607B7" w14:textId="77777777" w:rsidR="00FB3F64" w:rsidRDefault="00FB3F64" w:rsidP="00C24F4A">
      <w:pPr>
        <w:pStyle w:val="REG-Amend"/>
      </w:pPr>
    </w:p>
    <w:p w14:paraId="60B15BE2" w14:textId="3E3E6283" w:rsidR="00C24F4A" w:rsidRDefault="00C24F4A" w:rsidP="00C24F4A">
      <w:pPr>
        <w:pStyle w:val="REG-Amend"/>
      </w:pPr>
      <w:r>
        <w:t>[There seems to be a word missing after “psychological”.]</w:t>
      </w:r>
    </w:p>
    <w:p w14:paraId="4F3E051B" w14:textId="77777777" w:rsidR="00C24F4A" w:rsidRDefault="00C24F4A" w:rsidP="00C24F4A">
      <w:pPr>
        <w:pStyle w:val="REG-P0"/>
      </w:pPr>
    </w:p>
    <w:p w14:paraId="28259A02" w14:textId="77777777" w:rsidR="00C24F4A" w:rsidRDefault="00C24F4A" w:rsidP="00C24F4A">
      <w:pPr>
        <w:pStyle w:val="REG-P0"/>
      </w:pPr>
      <w:r w:rsidRPr="00C24F4A">
        <w:t xml:space="preserve">“non-ionising radiation source” means a device or an installation that emits non-ionising radiation; </w:t>
      </w:r>
    </w:p>
    <w:p w14:paraId="0DC8A6C0" w14:textId="77777777" w:rsidR="00C24F4A" w:rsidRDefault="00C24F4A" w:rsidP="00C24F4A">
      <w:pPr>
        <w:pStyle w:val="REG-P0"/>
      </w:pPr>
    </w:p>
    <w:p w14:paraId="65B1DCCE" w14:textId="77777777" w:rsidR="00C24F4A" w:rsidRDefault="00C24F4A" w:rsidP="00C24F4A">
      <w:pPr>
        <w:pStyle w:val="REG-P0"/>
      </w:pPr>
      <w:r w:rsidRPr="00C24F4A">
        <w:t>“occupational exposure” means exposure to non-ionising radiation experienced by a worker in the course of performing his or her work;</w:t>
      </w:r>
    </w:p>
    <w:p w14:paraId="43FCEBED" w14:textId="77777777" w:rsidR="00C24F4A" w:rsidRDefault="00C24F4A" w:rsidP="00C24F4A">
      <w:pPr>
        <w:pStyle w:val="REG-P0"/>
      </w:pPr>
    </w:p>
    <w:p w14:paraId="16D57532" w14:textId="77777777" w:rsidR="00C24F4A" w:rsidRDefault="00C24F4A" w:rsidP="00C24F4A">
      <w:pPr>
        <w:pStyle w:val="REG-P0"/>
      </w:pPr>
      <w:r w:rsidRPr="00C24F4A">
        <w:t xml:space="preserve">“owner of a device or an installation” means a person who owns, is responsible for, or is in charge of, a device or an installation; </w:t>
      </w:r>
    </w:p>
    <w:p w14:paraId="3FD51999" w14:textId="77777777" w:rsidR="00C24F4A" w:rsidRDefault="00C24F4A" w:rsidP="00C24F4A">
      <w:pPr>
        <w:pStyle w:val="REG-P0"/>
      </w:pPr>
    </w:p>
    <w:p w14:paraId="6011907E" w14:textId="15FDACA6" w:rsidR="007A66E1" w:rsidRDefault="00C24F4A" w:rsidP="00C24F4A">
      <w:pPr>
        <w:pStyle w:val="REG-P0"/>
      </w:pPr>
      <w:r w:rsidRPr="00C24F4A">
        <w:t>“public exposure” means exposure to non-ionisiong radiation experienced by members of public, excluding occupational exposure or medical exposure;</w:t>
      </w:r>
    </w:p>
    <w:p w14:paraId="6D43CC62" w14:textId="77777777" w:rsidR="00C24F4A" w:rsidRDefault="00C24F4A" w:rsidP="00C24F4A">
      <w:pPr>
        <w:pStyle w:val="REG-P0"/>
      </w:pPr>
    </w:p>
    <w:p w14:paraId="262DADCE" w14:textId="1D22EB10" w:rsidR="0072128F" w:rsidRDefault="0072128F" w:rsidP="0072128F">
      <w:pPr>
        <w:pStyle w:val="REG-Amend"/>
      </w:pPr>
      <w:r>
        <w:t>[The</w:t>
      </w:r>
      <w:r>
        <w:t xml:space="preserve"> word “non-ionising</w:t>
      </w:r>
      <w:r>
        <w:t>”</w:t>
      </w:r>
      <w:r>
        <w:t xml:space="preserve"> is misspelt in the </w:t>
      </w:r>
      <w:r w:rsidRPr="0072128F">
        <w:rPr>
          <w:i/>
          <w:iCs/>
        </w:rPr>
        <w:t>Government Gazette</w:t>
      </w:r>
      <w:r>
        <w:t>, as reproduced above</w:t>
      </w:r>
      <w:r>
        <w:t>.]</w:t>
      </w:r>
    </w:p>
    <w:p w14:paraId="7C6ABEFB" w14:textId="77777777" w:rsidR="0072128F" w:rsidRDefault="0072128F" w:rsidP="00C24F4A">
      <w:pPr>
        <w:pStyle w:val="REG-P0"/>
      </w:pPr>
    </w:p>
    <w:p w14:paraId="50E1427A" w14:textId="77777777" w:rsidR="00807904" w:rsidRDefault="00C24F4A" w:rsidP="00C24F4A">
      <w:pPr>
        <w:pStyle w:val="REG-P0"/>
      </w:pPr>
      <w:r w:rsidRPr="00C24F4A">
        <w:lastRenderedPageBreak/>
        <w:t>“reference level” means non-ionising radiation exposure limit level used for practical exposure assessment in order to determine whether the basic restrictions are likely to be exceeded;</w:t>
      </w:r>
    </w:p>
    <w:p w14:paraId="21DF98BD" w14:textId="77777777" w:rsidR="00807904" w:rsidRDefault="00807904" w:rsidP="00C24F4A">
      <w:pPr>
        <w:pStyle w:val="REG-P0"/>
      </w:pPr>
    </w:p>
    <w:p w14:paraId="28609FD0" w14:textId="7D25C3AE" w:rsidR="00807904" w:rsidRDefault="00C24F4A" w:rsidP="00C24F4A">
      <w:pPr>
        <w:pStyle w:val="REG-P0"/>
      </w:pPr>
      <w:r w:rsidRPr="00C24F4A">
        <w:t>“surveillance” means to monitor human exposure to non-ionising radiation, or to monitor non</w:t>
      </w:r>
      <w:r w:rsidR="00ED36CD">
        <w:t>-</w:t>
      </w:r>
      <w:r w:rsidRPr="00C24F4A">
        <w:t>ionising radiation sources;</w:t>
      </w:r>
    </w:p>
    <w:p w14:paraId="2B1DFFDA" w14:textId="77777777" w:rsidR="00807904" w:rsidRDefault="00807904" w:rsidP="00C24F4A">
      <w:pPr>
        <w:pStyle w:val="REG-P0"/>
      </w:pPr>
    </w:p>
    <w:p w14:paraId="7C8A79EC" w14:textId="77777777" w:rsidR="00807904" w:rsidRDefault="00C24F4A" w:rsidP="00C24F4A">
      <w:pPr>
        <w:pStyle w:val="REG-P0"/>
      </w:pPr>
      <w:r w:rsidRPr="00C24F4A">
        <w:t>“the Act” means the Atomic Energy and Radiation Protection Act, 2005 (Act No. 5 of 2005);</w:t>
      </w:r>
    </w:p>
    <w:p w14:paraId="7CC30EFD" w14:textId="77777777" w:rsidR="00807904" w:rsidRDefault="00807904" w:rsidP="00C24F4A">
      <w:pPr>
        <w:pStyle w:val="REG-P0"/>
      </w:pPr>
    </w:p>
    <w:p w14:paraId="6222EE47" w14:textId="77777777" w:rsidR="00807904" w:rsidRDefault="00C24F4A" w:rsidP="00C24F4A">
      <w:pPr>
        <w:pStyle w:val="REG-P0"/>
      </w:pPr>
      <w:r w:rsidRPr="00C24F4A">
        <w:t>“trained worker” means a worker or a self-employed individual who is exposed to non-ionising radiation at work and who has received necessary information and training about non-ionising radiation protective measures; and</w:t>
      </w:r>
    </w:p>
    <w:p w14:paraId="5B947A89" w14:textId="77777777" w:rsidR="00807904" w:rsidRDefault="00807904" w:rsidP="00C24F4A">
      <w:pPr>
        <w:pStyle w:val="REG-P0"/>
      </w:pPr>
    </w:p>
    <w:p w14:paraId="5D04C895" w14:textId="141CFF7E" w:rsidR="00C24F4A" w:rsidRDefault="00C24F4A" w:rsidP="00C24F4A">
      <w:pPr>
        <w:pStyle w:val="REG-P0"/>
      </w:pPr>
      <w:r w:rsidRPr="00C24F4A">
        <w:t>“worker” means a natural person or a self-employed natural person who is subjected to non-ionising radiation at work</w:t>
      </w:r>
      <w:r w:rsidR="00807904">
        <w:t>.</w:t>
      </w:r>
    </w:p>
    <w:p w14:paraId="4E33C198" w14:textId="77777777" w:rsidR="00807904" w:rsidRDefault="00807904" w:rsidP="00C24F4A">
      <w:pPr>
        <w:pStyle w:val="REG-P0"/>
      </w:pPr>
    </w:p>
    <w:p w14:paraId="077F0577" w14:textId="77777777" w:rsidR="00807904" w:rsidRDefault="00807904" w:rsidP="00C24F4A">
      <w:pPr>
        <w:pStyle w:val="REG-P0"/>
        <w:rPr>
          <w:b/>
        </w:rPr>
      </w:pPr>
      <w:r w:rsidRPr="00807904">
        <w:rPr>
          <w:b/>
        </w:rPr>
        <w:t xml:space="preserve">Application </w:t>
      </w:r>
    </w:p>
    <w:p w14:paraId="61A788C0" w14:textId="77777777" w:rsidR="00807904" w:rsidRDefault="00807904" w:rsidP="00C24F4A">
      <w:pPr>
        <w:pStyle w:val="REG-P0"/>
        <w:rPr>
          <w:b/>
        </w:rPr>
      </w:pPr>
    </w:p>
    <w:p w14:paraId="36523942" w14:textId="6B5B1C46" w:rsidR="00807904" w:rsidRPr="00FB3F64" w:rsidRDefault="00807904" w:rsidP="00FB3F64">
      <w:pPr>
        <w:pStyle w:val="REG-P1"/>
        <w:rPr>
          <w:rStyle w:val="REG-P1Char"/>
        </w:rPr>
      </w:pPr>
      <w:r w:rsidRPr="00FB3F64">
        <w:rPr>
          <w:b/>
        </w:rPr>
        <w:t>2.</w:t>
      </w:r>
      <w:r w:rsidRPr="00FB3F64">
        <w:t xml:space="preserve"> </w:t>
      </w:r>
      <w:r w:rsidRPr="00FB3F64">
        <w:tab/>
      </w:r>
      <w:r w:rsidRPr="00FB3F64">
        <w:rPr>
          <w:rStyle w:val="REG-P1Char"/>
        </w:rPr>
        <w:t xml:space="preserve">(1) </w:t>
      </w:r>
      <w:r w:rsidRPr="00FB3F64">
        <w:rPr>
          <w:rStyle w:val="REG-P1Char"/>
        </w:rPr>
        <w:tab/>
        <w:t xml:space="preserve">These regulations apply to non-ionising radiation sources </w:t>
      </w:r>
      <w:r w:rsidR="00FB3F64" w:rsidRPr="00FB3F64">
        <w:rPr>
          <w:rStyle w:val="REG-P1Char"/>
        </w:rPr>
        <w:t>-</w:t>
      </w:r>
      <w:r w:rsidRPr="00FB3F64">
        <w:rPr>
          <w:rStyle w:val="REG-P1Char"/>
        </w:rPr>
        <w:t xml:space="preserve"> </w:t>
      </w:r>
    </w:p>
    <w:p w14:paraId="5259606D" w14:textId="77777777" w:rsidR="00807904" w:rsidRDefault="00807904" w:rsidP="00C24F4A">
      <w:pPr>
        <w:pStyle w:val="REG-P0"/>
      </w:pPr>
    </w:p>
    <w:p w14:paraId="11B1DFD7" w14:textId="6B6C2DDF" w:rsidR="00807904" w:rsidRDefault="00807904" w:rsidP="00FB3F64">
      <w:pPr>
        <w:pStyle w:val="REG-Pa"/>
      </w:pPr>
      <w:r w:rsidRPr="00807904">
        <w:t xml:space="preserve">(a) </w:t>
      </w:r>
      <w:r>
        <w:tab/>
      </w:r>
      <w:r w:rsidRPr="00807904">
        <w:t xml:space="preserve">in the frequency range of 0 to 300 GHz; and </w:t>
      </w:r>
    </w:p>
    <w:p w14:paraId="3DA45029" w14:textId="77777777" w:rsidR="00807904" w:rsidRDefault="00807904" w:rsidP="00FB3F64">
      <w:pPr>
        <w:pStyle w:val="REG-Pa"/>
      </w:pPr>
    </w:p>
    <w:p w14:paraId="05BBC688" w14:textId="1E156C6A" w:rsidR="00807904" w:rsidRDefault="00807904" w:rsidP="00FB3F64">
      <w:pPr>
        <w:pStyle w:val="REG-Pa"/>
      </w:pPr>
      <w:r w:rsidRPr="00807904">
        <w:t xml:space="preserve">(b) </w:t>
      </w:r>
      <w:r>
        <w:tab/>
      </w:r>
      <w:r w:rsidRPr="00807904">
        <w:t xml:space="preserve">listed in subregulation (2). </w:t>
      </w:r>
    </w:p>
    <w:p w14:paraId="385A85B5" w14:textId="77777777" w:rsidR="00807904" w:rsidRDefault="00807904" w:rsidP="00FB3F64">
      <w:pPr>
        <w:pStyle w:val="REG-Pa"/>
      </w:pPr>
    </w:p>
    <w:p w14:paraId="0385DF82" w14:textId="4595D947" w:rsidR="00807904" w:rsidRDefault="00807904" w:rsidP="00FB3F64">
      <w:pPr>
        <w:pStyle w:val="REG-P1"/>
      </w:pPr>
      <w:r w:rsidRPr="00807904">
        <w:t xml:space="preserve">(2) </w:t>
      </w:r>
      <w:r>
        <w:tab/>
      </w:r>
      <w:r w:rsidRPr="00807904">
        <w:t xml:space="preserve">For purposes of subregulation (1), the non-ionising radiation sources to which these regulations apply are </w:t>
      </w:r>
      <w:r w:rsidR="00FB3F64">
        <w:t>-</w:t>
      </w:r>
      <w:r w:rsidRPr="00807904">
        <w:t xml:space="preserve"> </w:t>
      </w:r>
    </w:p>
    <w:p w14:paraId="45E7603A" w14:textId="77777777" w:rsidR="00807904" w:rsidRDefault="00807904" w:rsidP="00C24F4A">
      <w:pPr>
        <w:pStyle w:val="REG-P0"/>
      </w:pPr>
    </w:p>
    <w:p w14:paraId="1A27B161" w14:textId="3BADA3A8" w:rsidR="00807904" w:rsidRDefault="00807904" w:rsidP="00FB3F64">
      <w:pPr>
        <w:pStyle w:val="REG-Pa"/>
      </w:pPr>
      <w:r w:rsidRPr="00807904">
        <w:t xml:space="preserve">(a) </w:t>
      </w:r>
      <w:r>
        <w:tab/>
      </w:r>
      <w:r w:rsidRPr="00807904">
        <w:t xml:space="preserve">telecommunications and broadcasting installations which are </w:t>
      </w:r>
      <w:r w:rsidR="00FB3F64">
        <w:t>-</w:t>
      </w:r>
    </w:p>
    <w:p w14:paraId="75E20FEF" w14:textId="77777777" w:rsidR="00807904" w:rsidRDefault="00807904" w:rsidP="00FB3F64">
      <w:pPr>
        <w:pStyle w:val="REG-Pi"/>
      </w:pPr>
    </w:p>
    <w:p w14:paraId="0E8D69B9" w14:textId="5B5B703A" w:rsidR="00807904" w:rsidRDefault="00807904" w:rsidP="00FB3F64">
      <w:pPr>
        <w:pStyle w:val="REG-Pi"/>
      </w:pPr>
      <w:r w:rsidRPr="00807904">
        <w:t xml:space="preserve">(i) </w:t>
      </w:r>
      <w:r>
        <w:tab/>
      </w:r>
      <w:r w:rsidRPr="00807904">
        <w:t xml:space="preserve">TV antenna towers; </w:t>
      </w:r>
    </w:p>
    <w:p w14:paraId="2398B62E" w14:textId="77777777" w:rsidR="00807904" w:rsidRDefault="00807904" w:rsidP="00FB3F64">
      <w:pPr>
        <w:pStyle w:val="REG-Pi"/>
      </w:pPr>
    </w:p>
    <w:p w14:paraId="640E8684" w14:textId="2AAC1D9C" w:rsidR="00807904" w:rsidRDefault="00807904" w:rsidP="00FB3F64">
      <w:pPr>
        <w:pStyle w:val="REG-Pi"/>
      </w:pPr>
      <w:r w:rsidRPr="00807904">
        <w:t xml:space="preserve">(ii) </w:t>
      </w:r>
      <w:r>
        <w:tab/>
      </w:r>
      <w:r w:rsidRPr="00807904">
        <w:t xml:space="preserve">radio antenna towers; </w:t>
      </w:r>
    </w:p>
    <w:p w14:paraId="15CCF089" w14:textId="77777777" w:rsidR="00807904" w:rsidRDefault="00807904" w:rsidP="00FB3F64">
      <w:pPr>
        <w:pStyle w:val="REG-Pi"/>
      </w:pPr>
    </w:p>
    <w:p w14:paraId="59FD03B8" w14:textId="14F3F1C4" w:rsidR="00807904" w:rsidRDefault="00807904" w:rsidP="00FB3F64">
      <w:pPr>
        <w:pStyle w:val="REG-Pi"/>
      </w:pPr>
      <w:r w:rsidRPr="00807904">
        <w:t xml:space="preserve">(iii) </w:t>
      </w:r>
      <w:r>
        <w:tab/>
      </w:r>
      <w:r w:rsidRPr="00807904">
        <w:t xml:space="preserve">cellular base stations; and </w:t>
      </w:r>
    </w:p>
    <w:p w14:paraId="2A7D0E13" w14:textId="77777777" w:rsidR="00807904" w:rsidRDefault="00807904" w:rsidP="00FB3F64">
      <w:pPr>
        <w:pStyle w:val="REG-Pi"/>
      </w:pPr>
    </w:p>
    <w:p w14:paraId="0901276D" w14:textId="6DAE25D5" w:rsidR="00807904" w:rsidRDefault="00807904" w:rsidP="00FB3F64">
      <w:pPr>
        <w:pStyle w:val="REG-Pi"/>
      </w:pPr>
      <w:r w:rsidRPr="00807904">
        <w:t xml:space="preserve">(iv) </w:t>
      </w:r>
      <w:r>
        <w:tab/>
      </w:r>
      <w:r w:rsidRPr="00807904">
        <w:t xml:space="preserve">microwave dish antennas; </w:t>
      </w:r>
    </w:p>
    <w:p w14:paraId="477F5BC4" w14:textId="77777777" w:rsidR="00807904" w:rsidRDefault="00807904" w:rsidP="00FB3F64">
      <w:pPr>
        <w:pStyle w:val="REG-Pi"/>
      </w:pPr>
    </w:p>
    <w:p w14:paraId="722EA792" w14:textId="1A212569" w:rsidR="00807904" w:rsidRDefault="00807904" w:rsidP="00FB3F64">
      <w:pPr>
        <w:pStyle w:val="REG-Pa"/>
      </w:pPr>
      <w:r w:rsidRPr="00807904">
        <w:t xml:space="preserve">(b) </w:t>
      </w:r>
      <w:r>
        <w:tab/>
      </w:r>
      <w:r w:rsidRPr="00807904">
        <w:t xml:space="preserve">medical applications which are </w:t>
      </w:r>
      <w:r w:rsidR="00FB3F64">
        <w:t>-</w:t>
      </w:r>
      <w:r w:rsidRPr="00807904">
        <w:t xml:space="preserve"> </w:t>
      </w:r>
    </w:p>
    <w:p w14:paraId="3C451400" w14:textId="77777777" w:rsidR="00807904" w:rsidRDefault="00807904" w:rsidP="00FB3F64">
      <w:pPr>
        <w:pStyle w:val="REG-Pi"/>
      </w:pPr>
    </w:p>
    <w:p w14:paraId="135FD276" w14:textId="22A03DDD" w:rsidR="00807904" w:rsidRDefault="00807904" w:rsidP="00FB3F64">
      <w:pPr>
        <w:pStyle w:val="REG-Pi"/>
      </w:pPr>
      <w:r w:rsidRPr="00807904">
        <w:t>(i)</w:t>
      </w:r>
      <w:r>
        <w:tab/>
      </w:r>
      <w:r w:rsidRPr="00807904">
        <w:t xml:space="preserve">magnetic resonance imaging (MRI); and </w:t>
      </w:r>
    </w:p>
    <w:p w14:paraId="1B4E6E20" w14:textId="77777777" w:rsidR="00807904" w:rsidRDefault="00807904" w:rsidP="00FB3F64">
      <w:pPr>
        <w:pStyle w:val="REG-Pi"/>
      </w:pPr>
    </w:p>
    <w:p w14:paraId="41707F52" w14:textId="45550FF0" w:rsidR="00807904" w:rsidRDefault="00807904" w:rsidP="00FB3F64">
      <w:pPr>
        <w:pStyle w:val="REG-Pi"/>
      </w:pPr>
      <w:r w:rsidRPr="00807904">
        <w:t xml:space="preserve">(ii) </w:t>
      </w:r>
      <w:r>
        <w:tab/>
      </w:r>
      <w:r w:rsidRPr="00807904">
        <w:t>diathermy and hyperthermia;</w:t>
      </w:r>
    </w:p>
    <w:p w14:paraId="5FD9F149" w14:textId="77777777" w:rsidR="00807904" w:rsidRDefault="00807904" w:rsidP="00FB3F64">
      <w:pPr>
        <w:pStyle w:val="REG-Pa"/>
      </w:pPr>
    </w:p>
    <w:p w14:paraId="4E56A24C" w14:textId="58283C0D" w:rsidR="00807904" w:rsidRDefault="00807904" w:rsidP="00FB3F64">
      <w:pPr>
        <w:pStyle w:val="REG-Pa"/>
      </w:pPr>
      <w:r w:rsidRPr="00807904">
        <w:t xml:space="preserve">(c) </w:t>
      </w:r>
      <w:r>
        <w:tab/>
      </w:r>
      <w:r w:rsidRPr="00807904">
        <w:t xml:space="preserve">ultraviolet (UV) sun lamps; and </w:t>
      </w:r>
    </w:p>
    <w:p w14:paraId="607155C5" w14:textId="77777777" w:rsidR="00807904" w:rsidRDefault="00807904" w:rsidP="00FB3F64">
      <w:pPr>
        <w:pStyle w:val="REG-Pa"/>
      </w:pPr>
    </w:p>
    <w:p w14:paraId="34737B78" w14:textId="3BACE6C3" w:rsidR="00807904" w:rsidRDefault="00807904" w:rsidP="00FB3F64">
      <w:pPr>
        <w:pStyle w:val="REG-Pa"/>
      </w:pPr>
      <w:r w:rsidRPr="00807904">
        <w:t xml:space="preserve">(d) </w:t>
      </w:r>
      <w:r>
        <w:tab/>
      </w:r>
      <w:r w:rsidRPr="00807904">
        <w:t xml:space="preserve">high power lasers. </w:t>
      </w:r>
    </w:p>
    <w:p w14:paraId="3E3E49F0" w14:textId="77777777" w:rsidR="00807904" w:rsidRDefault="00807904" w:rsidP="00C24F4A">
      <w:pPr>
        <w:pStyle w:val="REG-P0"/>
      </w:pPr>
    </w:p>
    <w:p w14:paraId="3296B7B1" w14:textId="067BBAC4" w:rsidR="00807904" w:rsidRDefault="00807904" w:rsidP="00FB3F64">
      <w:pPr>
        <w:pStyle w:val="REG-P1"/>
      </w:pPr>
      <w:r w:rsidRPr="00807904">
        <w:t xml:space="preserve">(3) </w:t>
      </w:r>
      <w:r>
        <w:tab/>
      </w:r>
      <w:r w:rsidRPr="00807904">
        <w:t>Chapter 4 of the Act, excluding section 16(1)(a) and (c), (2)(a) and (c) and (3) of that section applies with the necessary changes to non-ionising radiation sources referred to in subregulation (2).</w:t>
      </w:r>
    </w:p>
    <w:p w14:paraId="0D9077DD" w14:textId="2377AE32" w:rsidR="00807904" w:rsidRDefault="00807904" w:rsidP="00C24F4A">
      <w:pPr>
        <w:pStyle w:val="REG-P0"/>
      </w:pPr>
    </w:p>
    <w:p w14:paraId="41628B4E" w14:textId="3F93785D" w:rsidR="00122298" w:rsidRDefault="00122298" w:rsidP="00122298">
      <w:pPr>
        <w:pStyle w:val="REG-Amend"/>
      </w:pPr>
      <w:r>
        <w:t xml:space="preserve">[The words “of that section” are redundant, and there should be a comma </w:t>
      </w:r>
      <w:r>
        <w:br/>
        <w:t>before the word “applies” to offset the preceding phrase properly.]</w:t>
      </w:r>
    </w:p>
    <w:p w14:paraId="0A49A4F4" w14:textId="77777777" w:rsidR="00122298" w:rsidRDefault="00122298" w:rsidP="00C24F4A">
      <w:pPr>
        <w:pStyle w:val="REG-P0"/>
      </w:pPr>
    </w:p>
    <w:p w14:paraId="1ED2AF6F" w14:textId="77777777" w:rsidR="00807904" w:rsidRDefault="00807904" w:rsidP="00C24F4A">
      <w:pPr>
        <w:pStyle w:val="REG-P0"/>
        <w:rPr>
          <w:b/>
        </w:rPr>
      </w:pPr>
      <w:r w:rsidRPr="00807904">
        <w:rPr>
          <w:b/>
        </w:rPr>
        <w:lastRenderedPageBreak/>
        <w:t>Purpose</w:t>
      </w:r>
    </w:p>
    <w:p w14:paraId="20FB5C08" w14:textId="77777777" w:rsidR="00807904" w:rsidRDefault="00807904" w:rsidP="00C24F4A">
      <w:pPr>
        <w:pStyle w:val="REG-P0"/>
        <w:rPr>
          <w:b/>
        </w:rPr>
      </w:pPr>
    </w:p>
    <w:p w14:paraId="7A53080A" w14:textId="4E3DAAF4" w:rsidR="00807904" w:rsidRDefault="00807904" w:rsidP="005A6CEE">
      <w:pPr>
        <w:pStyle w:val="REG-P1"/>
      </w:pPr>
      <w:r w:rsidRPr="00807904">
        <w:rPr>
          <w:b/>
        </w:rPr>
        <w:t>3.</w:t>
      </w:r>
      <w:r w:rsidRPr="00807904">
        <w:t xml:space="preserve"> </w:t>
      </w:r>
      <w:r>
        <w:tab/>
      </w:r>
      <w:r w:rsidRPr="00807904">
        <w:t xml:space="preserve">The purpose of these regulations is </w:t>
      </w:r>
      <w:r w:rsidR="005A6CEE">
        <w:t>-</w:t>
      </w:r>
    </w:p>
    <w:p w14:paraId="09ECB52A" w14:textId="77777777" w:rsidR="00807904" w:rsidRDefault="00807904" w:rsidP="005A6CEE">
      <w:pPr>
        <w:pStyle w:val="REG-Pa"/>
      </w:pPr>
    </w:p>
    <w:p w14:paraId="2595E5D2" w14:textId="77777777" w:rsidR="005A6CEE" w:rsidRDefault="00807904" w:rsidP="005A6CEE">
      <w:pPr>
        <w:pStyle w:val="REG-Pa"/>
      </w:pPr>
      <w:r w:rsidRPr="00807904">
        <w:t xml:space="preserve">(a) </w:t>
      </w:r>
      <w:r>
        <w:tab/>
      </w:r>
      <w:r w:rsidRPr="00807904">
        <w:t xml:space="preserve">to protect members of the public and workers from adverse health effects arising from exposure to non-ionising radiation in the living or working environment; and </w:t>
      </w:r>
    </w:p>
    <w:p w14:paraId="6675FBC1" w14:textId="77777777" w:rsidR="005A6CEE" w:rsidRDefault="005A6CEE" w:rsidP="005A6CEE">
      <w:pPr>
        <w:pStyle w:val="REG-Pa"/>
      </w:pPr>
    </w:p>
    <w:p w14:paraId="7CF30B12" w14:textId="334DAA5A" w:rsidR="00807904" w:rsidRDefault="00807904" w:rsidP="005A6CEE">
      <w:pPr>
        <w:pStyle w:val="REG-Pa"/>
      </w:pPr>
      <w:r w:rsidRPr="00807904">
        <w:t xml:space="preserve">(b) </w:t>
      </w:r>
      <w:r>
        <w:tab/>
      </w:r>
      <w:r w:rsidRPr="00807904">
        <w:t>to set non-ionising radiation exposure limits for members of the public and workers in order to protect them from the known adverse health effects of non-ionising radiation.</w:t>
      </w:r>
    </w:p>
    <w:p w14:paraId="5CAD95D0" w14:textId="77777777" w:rsidR="00807904" w:rsidRDefault="00807904" w:rsidP="00807904">
      <w:pPr>
        <w:pStyle w:val="REG-P0"/>
        <w:ind w:left="1140" w:hanging="1140"/>
      </w:pPr>
    </w:p>
    <w:p w14:paraId="52C37AA0" w14:textId="77777777" w:rsidR="00807904" w:rsidRDefault="00807904" w:rsidP="00807904">
      <w:pPr>
        <w:pStyle w:val="REG-P0"/>
        <w:rPr>
          <w:b/>
        </w:rPr>
      </w:pPr>
      <w:r w:rsidRPr="00807904">
        <w:rPr>
          <w:b/>
        </w:rPr>
        <w:t xml:space="preserve">Registration of non-ionising radiation sources </w:t>
      </w:r>
    </w:p>
    <w:p w14:paraId="4120CA06" w14:textId="77777777" w:rsidR="00807904" w:rsidRDefault="00807904" w:rsidP="00807904">
      <w:pPr>
        <w:pStyle w:val="REG-P0"/>
        <w:rPr>
          <w:b/>
        </w:rPr>
      </w:pPr>
    </w:p>
    <w:p w14:paraId="5861690A" w14:textId="1BF20569" w:rsidR="00807904" w:rsidRDefault="00807904" w:rsidP="005A6CEE">
      <w:pPr>
        <w:pStyle w:val="REG-P1"/>
      </w:pPr>
      <w:r w:rsidRPr="00807904">
        <w:rPr>
          <w:b/>
        </w:rPr>
        <w:t>4.</w:t>
      </w:r>
      <w:r w:rsidRPr="00807904">
        <w:t xml:space="preserve"> </w:t>
      </w:r>
      <w:r w:rsidR="005111EF">
        <w:tab/>
      </w:r>
      <w:r w:rsidRPr="00807904">
        <w:t>(1)</w:t>
      </w:r>
      <w:r>
        <w:tab/>
      </w:r>
      <w:r w:rsidRPr="00807904">
        <w:t xml:space="preserve"> For the purposes of section 18 of the Act, an application for the registration of a non-ionising radiation source, every facility used in respect of such non-ionising radiation source and the location where such non-ionising radiation source is used and stored must be made in writing and must contain the following </w:t>
      </w:r>
      <w:r w:rsidR="005A6CEE">
        <w:t>-</w:t>
      </w:r>
      <w:r w:rsidRPr="00807904">
        <w:t xml:space="preserve"> </w:t>
      </w:r>
    </w:p>
    <w:p w14:paraId="2AAA95FA" w14:textId="77777777" w:rsidR="00807904" w:rsidRDefault="00807904" w:rsidP="003E1851">
      <w:pPr>
        <w:pStyle w:val="REG-Pa"/>
      </w:pPr>
    </w:p>
    <w:p w14:paraId="2CC3AA84" w14:textId="76C6F993" w:rsidR="00807904" w:rsidRDefault="00807904" w:rsidP="003E1851">
      <w:pPr>
        <w:pStyle w:val="REG-Pa"/>
      </w:pPr>
      <w:r w:rsidRPr="00807904">
        <w:t xml:space="preserve">(a) </w:t>
      </w:r>
      <w:r>
        <w:tab/>
      </w:r>
      <w:r w:rsidRPr="00807904">
        <w:t xml:space="preserve">particulars of all licences, permits, registrations or similar permissions issued to the applicant relating to non-ionising radiation; </w:t>
      </w:r>
    </w:p>
    <w:p w14:paraId="3B42749F" w14:textId="77777777" w:rsidR="00807904" w:rsidRDefault="00807904" w:rsidP="003E1851">
      <w:pPr>
        <w:pStyle w:val="REG-Pa"/>
      </w:pPr>
    </w:p>
    <w:p w14:paraId="497BF99F" w14:textId="4DB016F9" w:rsidR="00807904" w:rsidRDefault="00807904" w:rsidP="003E1851">
      <w:pPr>
        <w:pStyle w:val="REG-Pa"/>
      </w:pPr>
      <w:r w:rsidRPr="00807904">
        <w:t xml:space="preserve">(b) </w:t>
      </w:r>
      <w:r>
        <w:tab/>
      </w:r>
      <w:r w:rsidRPr="00807904">
        <w:t>full particulars of non-ionising radiation source and any facilities where the non</w:t>
      </w:r>
      <w:r w:rsidR="00ED36CD">
        <w:t>-</w:t>
      </w:r>
      <w:r w:rsidRPr="00807904">
        <w:t xml:space="preserve">ionising radiation source will be installed, in the case of an installation; </w:t>
      </w:r>
    </w:p>
    <w:p w14:paraId="6C893A80" w14:textId="77777777" w:rsidR="00807904" w:rsidRDefault="00807904" w:rsidP="003E1851">
      <w:pPr>
        <w:pStyle w:val="REG-Pa"/>
      </w:pPr>
    </w:p>
    <w:p w14:paraId="2BFC8BFE" w14:textId="08900EC2" w:rsidR="0072128F" w:rsidRDefault="0072128F" w:rsidP="0072128F">
      <w:pPr>
        <w:pStyle w:val="REG-Amend"/>
      </w:pPr>
      <w:r>
        <w:t>[The first appearance of the phrase “</w:t>
      </w:r>
      <w:r w:rsidRPr="00807904">
        <w:t>non-ionising radiation source</w:t>
      </w:r>
      <w:r>
        <w:t xml:space="preserve">” should be </w:t>
      </w:r>
      <w:r>
        <w:br/>
        <w:t>preceded by the article “the”, as in its second appearance.]</w:t>
      </w:r>
    </w:p>
    <w:p w14:paraId="3BAD3549" w14:textId="77777777" w:rsidR="0072128F" w:rsidRDefault="0072128F" w:rsidP="003E1851">
      <w:pPr>
        <w:pStyle w:val="REG-Pa"/>
      </w:pPr>
    </w:p>
    <w:p w14:paraId="3A51F754" w14:textId="294B8F51" w:rsidR="00807904" w:rsidRDefault="00807904" w:rsidP="003E1851">
      <w:pPr>
        <w:pStyle w:val="REG-Pa"/>
      </w:pPr>
      <w:r w:rsidRPr="00807904">
        <w:t xml:space="preserve">(c) </w:t>
      </w:r>
      <w:r>
        <w:tab/>
      </w:r>
      <w:r w:rsidRPr="00807904">
        <w:t xml:space="preserve">the purpose for which the non-ionising radiation source will be used; </w:t>
      </w:r>
    </w:p>
    <w:p w14:paraId="4DBCF59D" w14:textId="77777777" w:rsidR="00807904" w:rsidRDefault="00807904" w:rsidP="003E1851">
      <w:pPr>
        <w:pStyle w:val="REG-Pa"/>
      </w:pPr>
    </w:p>
    <w:p w14:paraId="05D6E651" w14:textId="08235D94" w:rsidR="00807904" w:rsidRDefault="00807904" w:rsidP="003E1851">
      <w:pPr>
        <w:pStyle w:val="REG-Pa"/>
      </w:pPr>
      <w:r w:rsidRPr="00807904">
        <w:t xml:space="preserve">(d) </w:t>
      </w:r>
      <w:r>
        <w:tab/>
      </w:r>
      <w:r w:rsidRPr="00807904">
        <w:t xml:space="preserve">particulars of all classes of persons, including members of the public and workers and any other class of person who will be exposed to non-ionising radiation; </w:t>
      </w:r>
    </w:p>
    <w:p w14:paraId="7C958BA9" w14:textId="77777777" w:rsidR="00807904" w:rsidRDefault="00807904" w:rsidP="003E1851">
      <w:pPr>
        <w:pStyle w:val="REG-Pa"/>
      </w:pPr>
    </w:p>
    <w:p w14:paraId="0D89438E" w14:textId="1D1490AE" w:rsidR="00807904" w:rsidRDefault="00807904" w:rsidP="003E1851">
      <w:pPr>
        <w:pStyle w:val="REG-Pa"/>
      </w:pPr>
      <w:r w:rsidRPr="00807904">
        <w:t xml:space="preserve">(e) </w:t>
      </w:r>
      <w:r>
        <w:tab/>
      </w:r>
      <w:r w:rsidRPr="00807904">
        <w:t xml:space="preserve">all relevant information required to assess the doses of non-ionising radiation to which each class of person referred to in paragraph (d) will be exposed; and </w:t>
      </w:r>
    </w:p>
    <w:p w14:paraId="77786F60" w14:textId="77777777" w:rsidR="00807904" w:rsidRDefault="00807904" w:rsidP="003E1851">
      <w:pPr>
        <w:pStyle w:val="REG-Pa"/>
      </w:pPr>
    </w:p>
    <w:p w14:paraId="5C55654A" w14:textId="1E7E33C5" w:rsidR="00807904" w:rsidRDefault="00807904" w:rsidP="003E1851">
      <w:pPr>
        <w:pStyle w:val="REG-Pa"/>
      </w:pPr>
      <w:r w:rsidRPr="00807904">
        <w:t xml:space="preserve">(f) </w:t>
      </w:r>
      <w:r>
        <w:tab/>
      </w:r>
      <w:r w:rsidRPr="00807904">
        <w:t xml:space="preserve">all relevant particulars that may be necessary to enable the Authority to assess the risk relating to non-ionising radiation source. </w:t>
      </w:r>
    </w:p>
    <w:p w14:paraId="680671A2" w14:textId="77777777" w:rsidR="00807904" w:rsidRDefault="00807904" w:rsidP="003E1851">
      <w:pPr>
        <w:pStyle w:val="REG-P1"/>
      </w:pPr>
    </w:p>
    <w:p w14:paraId="6B376E1E" w14:textId="7415D46B" w:rsidR="0072128F" w:rsidRDefault="0072128F" w:rsidP="0072128F">
      <w:pPr>
        <w:pStyle w:val="REG-Amend"/>
      </w:pPr>
      <w:r>
        <w:t>[The phrase “</w:t>
      </w:r>
      <w:r w:rsidRPr="00807904">
        <w:t>non-ionising radiation source</w:t>
      </w:r>
      <w:r>
        <w:t>” should be preceded by the article “the”.]</w:t>
      </w:r>
    </w:p>
    <w:p w14:paraId="4ABDB78D" w14:textId="77777777" w:rsidR="0072128F" w:rsidRDefault="0072128F" w:rsidP="003E1851">
      <w:pPr>
        <w:pStyle w:val="REG-P1"/>
      </w:pPr>
    </w:p>
    <w:p w14:paraId="5FFA3DE1" w14:textId="53D1B176" w:rsidR="00807904" w:rsidRDefault="00807904" w:rsidP="003E1851">
      <w:pPr>
        <w:pStyle w:val="REG-P1"/>
      </w:pPr>
      <w:r w:rsidRPr="00807904">
        <w:t xml:space="preserve">(2) </w:t>
      </w:r>
      <w:r>
        <w:tab/>
      </w:r>
      <w:r w:rsidRPr="00807904">
        <w:t xml:space="preserve">The Authority may provide forms on which applicants for registration must apply, and the Authority may provide different forms for different classes of registration. </w:t>
      </w:r>
    </w:p>
    <w:p w14:paraId="019AF701" w14:textId="77777777" w:rsidR="00807904" w:rsidRDefault="00807904" w:rsidP="003E1851">
      <w:pPr>
        <w:pStyle w:val="REG-P1"/>
      </w:pPr>
    </w:p>
    <w:p w14:paraId="62DE0C29" w14:textId="5B9F8F6A" w:rsidR="00807904" w:rsidRDefault="00807904" w:rsidP="003E1851">
      <w:pPr>
        <w:pStyle w:val="REG-P1"/>
      </w:pPr>
      <w:r w:rsidRPr="00807904">
        <w:t xml:space="preserve">(3) </w:t>
      </w:r>
      <w:r>
        <w:tab/>
      </w:r>
      <w:r w:rsidRPr="00807904">
        <w:t xml:space="preserve">The Director-General may request any relevant information or document in order to evaluate the application for registration in terms of these regulations. </w:t>
      </w:r>
    </w:p>
    <w:p w14:paraId="46A32836" w14:textId="77777777" w:rsidR="00807904" w:rsidRDefault="00807904" w:rsidP="003E1851">
      <w:pPr>
        <w:pStyle w:val="REG-P1"/>
      </w:pPr>
    </w:p>
    <w:p w14:paraId="02E78053" w14:textId="4CC1574C" w:rsidR="00807904" w:rsidRDefault="00807904" w:rsidP="003E1851">
      <w:pPr>
        <w:pStyle w:val="REG-P1"/>
      </w:pPr>
      <w:r w:rsidRPr="00807904">
        <w:t xml:space="preserve">(4) </w:t>
      </w:r>
      <w:r>
        <w:tab/>
      </w:r>
      <w:r w:rsidRPr="00807904">
        <w:t xml:space="preserve">A person who </w:t>
      </w:r>
      <w:r w:rsidR="005A6CEE">
        <w:t>-</w:t>
      </w:r>
      <w:r w:rsidRPr="00807904">
        <w:t xml:space="preserve"> </w:t>
      </w:r>
    </w:p>
    <w:p w14:paraId="2A0B9AD2" w14:textId="77777777" w:rsidR="00807904" w:rsidRDefault="00807904" w:rsidP="003E1851">
      <w:pPr>
        <w:pStyle w:val="REG-Pa"/>
      </w:pPr>
    </w:p>
    <w:p w14:paraId="36511D58" w14:textId="129C6C7E" w:rsidR="00807904" w:rsidRDefault="00807904" w:rsidP="003E1851">
      <w:pPr>
        <w:pStyle w:val="REG-Pa"/>
      </w:pPr>
      <w:r w:rsidRPr="00807904">
        <w:t xml:space="preserve">(a) </w:t>
      </w:r>
      <w:r>
        <w:tab/>
      </w:r>
      <w:r w:rsidRPr="00807904">
        <w:t xml:space="preserve">has imported into Namibia a non-ionising radiation source; or </w:t>
      </w:r>
    </w:p>
    <w:p w14:paraId="791BE2E1" w14:textId="77777777" w:rsidR="00807904" w:rsidRDefault="00807904" w:rsidP="003E1851">
      <w:pPr>
        <w:pStyle w:val="REG-Pa"/>
      </w:pPr>
    </w:p>
    <w:p w14:paraId="0A594773" w14:textId="687A267A" w:rsidR="00807904" w:rsidRDefault="00807904" w:rsidP="003E1851">
      <w:pPr>
        <w:pStyle w:val="REG-Pa"/>
      </w:pPr>
      <w:r w:rsidRPr="00807904">
        <w:t xml:space="preserve">(b) </w:t>
      </w:r>
      <w:r>
        <w:tab/>
      </w:r>
      <w:r w:rsidRPr="00807904">
        <w:t xml:space="preserve">has been operating or using a non-ionising radiation source, before the commencement of these regulations and to which these regulations apply must, within 90 days of the commencement of these regulations, make an application in </w:t>
      </w:r>
      <w:r w:rsidRPr="00807904">
        <w:lastRenderedPageBreak/>
        <w:t>accordance with section 19 of the Act for the registration of the non-ionising radiation source, facility and location as contemplated in subregulation (1).</w:t>
      </w:r>
    </w:p>
    <w:p w14:paraId="21BCD035" w14:textId="77777777" w:rsidR="00807904" w:rsidRDefault="00807904" w:rsidP="00807904">
      <w:pPr>
        <w:pStyle w:val="REG-P0"/>
        <w:ind w:left="567" w:hanging="567"/>
      </w:pPr>
    </w:p>
    <w:p w14:paraId="5541A446" w14:textId="77777777" w:rsidR="00807904" w:rsidRDefault="00807904" w:rsidP="00807904">
      <w:pPr>
        <w:pStyle w:val="REG-P0"/>
        <w:rPr>
          <w:b/>
        </w:rPr>
      </w:pPr>
      <w:r w:rsidRPr="00807904">
        <w:rPr>
          <w:b/>
        </w:rPr>
        <w:t xml:space="preserve">Application for licence </w:t>
      </w:r>
    </w:p>
    <w:p w14:paraId="2B16D361" w14:textId="77777777" w:rsidR="00807904" w:rsidRDefault="00807904" w:rsidP="00807904">
      <w:pPr>
        <w:pStyle w:val="REG-P0"/>
        <w:rPr>
          <w:b/>
        </w:rPr>
      </w:pPr>
    </w:p>
    <w:p w14:paraId="6B486DD1" w14:textId="106E2534" w:rsidR="00807904" w:rsidRDefault="00807904" w:rsidP="003E1851">
      <w:pPr>
        <w:pStyle w:val="REG-P1"/>
      </w:pPr>
      <w:r w:rsidRPr="00807904">
        <w:rPr>
          <w:b/>
        </w:rPr>
        <w:t xml:space="preserve">5. </w:t>
      </w:r>
      <w:r>
        <w:rPr>
          <w:b/>
        </w:rPr>
        <w:tab/>
      </w:r>
      <w:r w:rsidRPr="00807904">
        <w:t xml:space="preserve">(1) An application for a licence must be in writing and must, in addition to the information and particulars required by the Act, contain the following particulars </w:t>
      </w:r>
      <w:r w:rsidR="005A6CEE">
        <w:t>-</w:t>
      </w:r>
      <w:r w:rsidRPr="00807904">
        <w:t xml:space="preserve"> </w:t>
      </w:r>
    </w:p>
    <w:p w14:paraId="711C2903" w14:textId="77777777" w:rsidR="00807904" w:rsidRDefault="00807904" w:rsidP="00807904">
      <w:pPr>
        <w:pStyle w:val="REG-P0"/>
      </w:pPr>
    </w:p>
    <w:p w14:paraId="638C5805" w14:textId="1BD14933" w:rsidR="00807904" w:rsidRDefault="00807904" w:rsidP="003E1851">
      <w:pPr>
        <w:pStyle w:val="REG-Pa"/>
      </w:pPr>
      <w:r w:rsidRPr="00807904">
        <w:t xml:space="preserve">(a) </w:t>
      </w:r>
      <w:r>
        <w:tab/>
      </w:r>
      <w:r w:rsidRPr="00807904">
        <w:t>the personal particulars of the applicant;</w:t>
      </w:r>
    </w:p>
    <w:p w14:paraId="77D727C1" w14:textId="77777777" w:rsidR="00807904" w:rsidRDefault="00807904" w:rsidP="003E1851">
      <w:pPr>
        <w:pStyle w:val="REG-Pa"/>
      </w:pPr>
    </w:p>
    <w:p w14:paraId="1735AB8F" w14:textId="527B4008" w:rsidR="00807904" w:rsidRDefault="00807904" w:rsidP="003E1851">
      <w:pPr>
        <w:pStyle w:val="REG-Pa"/>
      </w:pPr>
      <w:r w:rsidRPr="00807904">
        <w:t xml:space="preserve">(b) </w:t>
      </w:r>
      <w:r>
        <w:tab/>
      </w:r>
      <w:r w:rsidRPr="00807904">
        <w:t xml:space="preserve">particulars of all other licences or registrations granted by other public bodies in relation to the activities relating to the practices and use of non-ionising radiation sources; and </w:t>
      </w:r>
    </w:p>
    <w:p w14:paraId="77B105E6" w14:textId="77777777" w:rsidR="00807904" w:rsidRDefault="00807904" w:rsidP="003E1851">
      <w:pPr>
        <w:pStyle w:val="REG-Pa"/>
      </w:pPr>
    </w:p>
    <w:p w14:paraId="06E95D0D" w14:textId="52B91C75" w:rsidR="00807904" w:rsidRDefault="00807904" w:rsidP="003E1851">
      <w:pPr>
        <w:pStyle w:val="REG-Pa"/>
      </w:pPr>
      <w:r w:rsidRPr="00807904">
        <w:t>(c)</w:t>
      </w:r>
      <w:r>
        <w:tab/>
      </w:r>
      <w:r w:rsidRPr="00807904">
        <w:t xml:space="preserve">particulars of all practices for which the applicant intends to be licensed. </w:t>
      </w:r>
    </w:p>
    <w:p w14:paraId="3785F6D6" w14:textId="77777777" w:rsidR="00807904" w:rsidRDefault="00807904" w:rsidP="003E1851">
      <w:pPr>
        <w:pStyle w:val="REG-P1"/>
      </w:pPr>
    </w:p>
    <w:p w14:paraId="0E23EA2A" w14:textId="57E864A6" w:rsidR="00807904" w:rsidRDefault="00807904" w:rsidP="003E1851">
      <w:pPr>
        <w:pStyle w:val="REG-P1"/>
      </w:pPr>
      <w:r w:rsidRPr="00807904">
        <w:t xml:space="preserve">(2) </w:t>
      </w:r>
      <w:r>
        <w:tab/>
      </w:r>
      <w:r w:rsidRPr="00807904">
        <w:t xml:space="preserve">The Authority may provide forms on which applicants must apply, and the Authority may provide different forms in respect of different classes of non-ionising radiation sources. </w:t>
      </w:r>
    </w:p>
    <w:p w14:paraId="74E932CA" w14:textId="77777777" w:rsidR="00807904" w:rsidRDefault="00807904" w:rsidP="003E1851">
      <w:pPr>
        <w:pStyle w:val="REG-P1"/>
      </w:pPr>
    </w:p>
    <w:p w14:paraId="0CC419C7" w14:textId="71E1D790" w:rsidR="00807904" w:rsidRDefault="00807904" w:rsidP="003E1851">
      <w:pPr>
        <w:pStyle w:val="REG-P1"/>
      </w:pPr>
      <w:r w:rsidRPr="00807904">
        <w:t xml:space="preserve">(3) </w:t>
      </w:r>
      <w:r>
        <w:tab/>
      </w:r>
      <w:r w:rsidRPr="00807904">
        <w:t xml:space="preserve">The Director-General may request relevant information or document in order to evaluate an application for the licence. </w:t>
      </w:r>
    </w:p>
    <w:p w14:paraId="3D6E01BD" w14:textId="77777777" w:rsidR="00807904" w:rsidRDefault="00807904" w:rsidP="003E1851">
      <w:pPr>
        <w:pStyle w:val="REG-P1"/>
      </w:pPr>
    </w:p>
    <w:p w14:paraId="2EF04DD0" w14:textId="13176FB5" w:rsidR="0072128F" w:rsidRDefault="0072128F" w:rsidP="0072128F">
      <w:pPr>
        <w:pStyle w:val="REG-Amend"/>
      </w:pPr>
      <w:r>
        <w:t>[The phrase “</w:t>
      </w:r>
      <w:r w:rsidRPr="0072128F">
        <w:t>relevant information or document</w:t>
      </w:r>
      <w:r>
        <w:t xml:space="preserve">” should be “any </w:t>
      </w:r>
      <w:r w:rsidRPr="00807904">
        <w:t>relevant information or document</w:t>
      </w:r>
      <w:r>
        <w:t>” or “</w:t>
      </w:r>
      <w:r w:rsidRPr="00807904">
        <w:t>relevant information or document</w:t>
      </w:r>
      <w:r>
        <w:t>s” to fit the sentence structure.]</w:t>
      </w:r>
    </w:p>
    <w:p w14:paraId="34B49CC3" w14:textId="77777777" w:rsidR="0072128F" w:rsidRDefault="0072128F" w:rsidP="003E1851">
      <w:pPr>
        <w:pStyle w:val="REG-P1"/>
      </w:pPr>
    </w:p>
    <w:p w14:paraId="4F55B7EE" w14:textId="25631950" w:rsidR="00807904" w:rsidRDefault="00807904" w:rsidP="003E1851">
      <w:pPr>
        <w:pStyle w:val="REG-P1"/>
      </w:pPr>
      <w:r w:rsidRPr="00807904">
        <w:t xml:space="preserve">(4) </w:t>
      </w:r>
      <w:r>
        <w:tab/>
      </w:r>
      <w:r w:rsidRPr="00807904">
        <w:t xml:space="preserve">If required by the Director-General, the applicant must provide a non-ionising radiation management plan which must include </w:t>
      </w:r>
      <w:r w:rsidR="005A6CEE">
        <w:t>-</w:t>
      </w:r>
      <w:r w:rsidRPr="00807904">
        <w:t xml:space="preserve"> </w:t>
      </w:r>
    </w:p>
    <w:p w14:paraId="43C86298" w14:textId="77777777" w:rsidR="00807904" w:rsidRDefault="00807904" w:rsidP="003E1851">
      <w:pPr>
        <w:pStyle w:val="REG-Pa"/>
      </w:pPr>
    </w:p>
    <w:p w14:paraId="03BF6D4E" w14:textId="324FCF0C" w:rsidR="00807904" w:rsidRDefault="00807904" w:rsidP="003E1851">
      <w:pPr>
        <w:pStyle w:val="REG-Pa"/>
      </w:pPr>
      <w:r w:rsidRPr="00807904">
        <w:t xml:space="preserve">(a) </w:t>
      </w:r>
      <w:r>
        <w:tab/>
      </w:r>
      <w:r w:rsidRPr="00807904">
        <w:t xml:space="preserve">a comprehensive and technical description of the practices for which the applicant applies to be licensed; </w:t>
      </w:r>
    </w:p>
    <w:p w14:paraId="28183967" w14:textId="77777777" w:rsidR="00807904" w:rsidRDefault="00807904" w:rsidP="003E1851">
      <w:pPr>
        <w:pStyle w:val="REG-Pa"/>
      </w:pPr>
    </w:p>
    <w:p w14:paraId="57213B63" w14:textId="7E3F3A8C" w:rsidR="00807904" w:rsidRDefault="00807904" w:rsidP="003E1851">
      <w:pPr>
        <w:pStyle w:val="REG-Pa"/>
      </w:pPr>
      <w:r w:rsidRPr="00807904">
        <w:t xml:space="preserve">(b) </w:t>
      </w:r>
      <w:r>
        <w:tab/>
      </w:r>
      <w:r w:rsidRPr="00807904">
        <w:t xml:space="preserve">full particulars of the results of impact assessment and other studies that have been carried out in respect of the practice concerned; </w:t>
      </w:r>
    </w:p>
    <w:p w14:paraId="0592E541" w14:textId="77777777" w:rsidR="00807904" w:rsidRDefault="00807904" w:rsidP="003E1851">
      <w:pPr>
        <w:pStyle w:val="REG-Pa"/>
      </w:pPr>
    </w:p>
    <w:p w14:paraId="4DE26ED0" w14:textId="462A4AC6" w:rsidR="00807904" w:rsidRDefault="00807904" w:rsidP="003E1851">
      <w:pPr>
        <w:pStyle w:val="REG-Pa"/>
      </w:pPr>
      <w:r w:rsidRPr="00807904">
        <w:t xml:space="preserve">(c) </w:t>
      </w:r>
      <w:r>
        <w:tab/>
      </w:r>
      <w:r w:rsidRPr="00807904">
        <w:t xml:space="preserve">a description of the organisational arrangements, including roles and responsibilities of all persons, and radiation safety officers, and assignment of responsibilities to different operational levels; </w:t>
      </w:r>
    </w:p>
    <w:p w14:paraId="6618B8A0" w14:textId="77777777" w:rsidR="00807904" w:rsidRDefault="00807904" w:rsidP="003E1851">
      <w:pPr>
        <w:pStyle w:val="REG-Pa"/>
      </w:pPr>
    </w:p>
    <w:p w14:paraId="0333F0BC" w14:textId="457CFB21" w:rsidR="00807904" w:rsidRDefault="00807904" w:rsidP="003E1851">
      <w:pPr>
        <w:pStyle w:val="REG-Pa"/>
      </w:pPr>
      <w:r w:rsidRPr="00807904">
        <w:t xml:space="preserve">(d) </w:t>
      </w:r>
      <w:r>
        <w:tab/>
      </w:r>
      <w:r w:rsidRPr="00807904">
        <w:t xml:space="preserve">a description of the measures to be introduced for the assessment and optimisation of radiation protection of workers in accordance with the requirements of these regulations; </w:t>
      </w:r>
    </w:p>
    <w:p w14:paraId="76B5E95C" w14:textId="77777777" w:rsidR="00807904" w:rsidRDefault="00807904" w:rsidP="003E1851">
      <w:pPr>
        <w:pStyle w:val="REG-Pa"/>
      </w:pPr>
    </w:p>
    <w:p w14:paraId="292D686D" w14:textId="17BB3475" w:rsidR="00807904" w:rsidRDefault="00807904" w:rsidP="003E1851">
      <w:pPr>
        <w:pStyle w:val="REG-Pa"/>
      </w:pPr>
      <w:r w:rsidRPr="00807904">
        <w:t xml:space="preserve">(e) </w:t>
      </w:r>
      <w:r>
        <w:tab/>
      </w:r>
      <w:r w:rsidRPr="00807904">
        <w:t xml:space="preserve">a description of the measures to be introduced for the assessment and optimisation of radiation protection for the environment and public in accordance with the requirements of these regulations; and </w:t>
      </w:r>
    </w:p>
    <w:p w14:paraId="38EA3A59" w14:textId="77777777" w:rsidR="00807904" w:rsidRDefault="00807904" w:rsidP="003E1851">
      <w:pPr>
        <w:pStyle w:val="REG-Pa"/>
      </w:pPr>
    </w:p>
    <w:p w14:paraId="66F6C59A" w14:textId="53337CCC" w:rsidR="00807904" w:rsidRDefault="00807904" w:rsidP="003E1851">
      <w:pPr>
        <w:pStyle w:val="REG-Pa"/>
      </w:pPr>
      <w:r w:rsidRPr="00807904">
        <w:t xml:space="preserve">(f) </w:t>
      </w:r>
      <w:r>
        <w:tab/>
      </w:r>
      <w:r w:rsidRPr="00807904">
        <w:t xml:space="preserve">a description of potential accident scenarios and a comprehensive description of the response and preparedness plan. </w:t>
      </w:r>
    </w:p>
    <w:p w14:paraId="500A8602" w14:textId="77777777" w:rsidR="00807904" w:rsidRDefault="00807904" w:rsidP="00807904">
      <w:pPr>
        <w:pStyle w:val="REG-P0"/>
      </w:pPr>
    </w:p>
    <w:p w14:paraId="7B223665" w14:textId="53B64D58" w:rsidR="00807904" w:rsidRDefault="00807904" w:rsidP="003E1851">
      <w:pPr>
        <w:pStyle w:val="REG-P1"/>
      </w:pPr>
      <w:r w:rsidRPr="00807904">
        <w:t xml:space="preserve">(5) </w:t>
      </w:r>
      <w:r>
        <w:tab/>
      </w:r>
      <w:r w:rsidRPr="00807904">
        <w:t xml:space="preserve">A person who </w:t>
      </w:r>
      <w:r w:rsidR="005A6CEE">
        <w:t>-</w:t>
      </w:r>
      <w:r w:rsidRPr="00807904">
        <w:t xml:space="preserve"> </w:t>
      </w:r>
    </w:p>
    <w:p w14:paraId="09B24EA6" w14:textId="77777777" w:rsidR="00807904" w:rsidRDefault="00807904" w:rsidP="003E1851">
      <w:pPr>
        <w:pStyle w:val="REG-Pa"/>
      </w:pPr>
    </w:p>
    <w:p w14:paraId="1CDAFE3D" w14:textId="17468A81" w:rsidR="00807904" w:rsidRDefault="00807904" w:rsidP="003E1851">
      <w:pPr>
        <w:pStyle w:val="REG-Pa"/>
      </w:pPr>
      <w:r w:rsidRPr="00807904">
        <w:t xml:space="preserve">(a) </w:t>
      </w:r>
      <w:r>
        <w:tab/>
      </w:r>
      <w:r w:rsidRPr="00807904">
        <w:t xml:space="preserve">has imported into Namibia a non-ionising radiation source; or </w:t>
      </w:r>
    </w:p>
    <w:p w14:paraId="0924F47E" w14:textId="77777777" w:rsidR="00807904" w:rsidRDefault="00807904" w:rsidP="003E1851">
      <w:pPr>
        <w:pStyle w:val="REG-Pa"/>
      </w:pPr>
    </w:p>
    <w:p w14:paraId="75477703" w14:textId="3EE35FAB" w:rsidR="00897F53" w:rsidRDefault="00807904" w:rsidP="003E1851">
      <w:pPr>
        <w:pStyle w:val="REG-Pa"/>
      </w:pPr>
      <w:r w:rsidRPr="00807904">
        <w:lastRenderedPageBreak/>
        <w:t xml:space="preserve">(b) </w:t>
      </w:r>
      <w:r>
        <w:tab/>
      </w:r>
      <w:r w:rsidRPr="00807904">
        <w:t xml:space="preserve">has been operating or using a non-ionising radiation source, </w:t>
      </w:r>
    </w:p>
    <w:p w14:paraId="0FC7BC34" w14:textId="77777777" w:rsidR="00897F53" w:rsidRDefault="00897F53" w:rsidP="00807904">
      <w:pPr>
        <w:pStyle w:val="REG-P0"/>
      </w:pPr>
    </w:p>
    <w:p w14:paraId="150610C1" w14:textId="77777777" w:rsidR="00897F53" w:rsidRDefault="00807904" w:rsidP="00897F53">
      <w:pPr>
        <w:pStyle w:val="REG-P0"/>
      </w:pPr>
      <w:r w:rsidRPr="00807904">
        <w:t>before the commencement of these regulations and to which these regulations apply must, within 90 days of the commencement of these regulations, make an application in accordance with section 21 of the Act for a licence.</w:t>
      </w:r>
    </w:p>
    <w:p w14:paraId="11803044" w14:textId="77777777" w:rsidR="00897F53" w:rsidRDefault="00897F53" w:rsidP="00897F53">
      <w:pPr>
        <w:pStyle w:val="REG-P0"/>
      </w:pPr>
    </w:p>
    <w:p w14:paraId="7DC85081" w14:textId="77777777" w:rsidR="00897F53" w:rsidRDefault="00897F53" w:rsidP="00897F53">
      <w:pPr>
        <w:pStyle w:val="REG-P0"/>
        <w:rPr>
          <w:b/>
        </w:rPr>
      </w:pPr>
      <w:r w:rsidRPr="00897F53">
        <w:rPr>
          <w:b/>
        </w:rPr>
        <w:t xml:space="preserve">Non-ionising radiation exposure limits </w:t>
      </w:r>
    </w:p>
    <w:p w14:paraId="171C566D" w14:textId="77777777" w:rsidR="00897F53" w:rsidRDefault="00897F53" w:rsidP="00897F53">
      <w:pPr>
        <w:pStyle w:val="REG-P0"/>
        <w:rPr>
          <w:b/>
        </w:rPr>
      </w:pPr>
    </w:p>
    <w:p w14:paraId="092A473A" w14:textId="4DF20C40" w:rsidR="00897F53" w:rsidRDefault="00897F53" w:rsidP="003E1851">
      <w:pPr>
        <w:pStyle w:val="REG-P1"/>
      </w:pPr>
      <w:r w:rsidRPr="00897F53">
        <w:rPr>
          <w:b/>
        </w:rPr>
        <w:t>6.</w:t>
      </w:r>
      <w:r w:rsidRPr="00897F53">
        <w:t xml:space="preserve"> </w:t>
      </w:r>
      <w:r>
        <w:tab/>
      </w:r>
      <w:r w:rsidRPr="00897F53">
        <w:t>(1)</w:t>
      </w:r>
      <w:r>
        <w:tab/>
      </w:r>
      <w:r w:rsidRPr="00897F53">
        <w:t xml:space="preserve">The Guidelines for Limiting Exposure to Time-Varying Electric, Magnetic and Electromagnetic Fields, up to 300 GHz, by the International Commission on Non-Ionizing Radiation Protection with respect to basic restrictions and reference levels are adopted as the relevant non-ionising radiation exposure limits for the purposes of these regulations. </w:t>
      </w:r>
    </w:p>
    <w:p w14:paraId="02220B1A" w14:textId="77777777" w:rsidR="00897F53" w:rsidRDefault="00897F53" w:rsidP="00897F53">
      <w:pPr>
        <w:pStyle w:val="REG-P0"/>
      </w:pPr>
    </w:p>
    <w:p w14:paraId="2C67807A" w14:textId="75595698" w:rsidR="00897F53" w:rsidRDefault="00897F53" w:rsidP="003E1851">
      <w:pPr>
        <w:pStyle w:val="REG-P1"/>
      </w:pPr>
      <w:r w:rsidRPr="00897F53">
        <w:t xml:space="preserve">(2) </w:t>
      </w:r>
      <w:r>
        <w:tab/>
      </w:r>
      <w:r w:rsidRPr="00897F53">
        <w:t>The Authority must ensure that any non-ionising radiation source in Namibia or that is imported into Namibia complies with the non-ionising radiation exposure limits contemplated</w:t>
      </w:r>
      <w:r>
        <w:t xml:space="preserve"> </w:t>
      </w:r>
      <w:r w:rsidRPr="00897F53">
        <w:t xml:space="preserve">in subregulation (1) and must take appropriate measures to ensure that an importer of non-ionising radiation source or an owner of a device or an installation complies with the non-ionising radiation exposure limit. </w:t>
      </w:r>
    </w:p>
    <w:p w14:paraId="57213F62" w14:textId="77777777" w:rsidR="00897F53" w:rsidRDefault="00897F53" w:rsidP="00897F53">
      <w:pPr>
        <w:pStyle w:val="REG-P0"/>
      </w:pPr>
    </w:p>
    <w:p w14:paraId="3B7EA598" w14:textId="1B9BA7A1" w:rsidR="00897F53" w:rsidRDefault="00897F53" w:rsidP="003E1851">
      <w:pPr>
        <w:pStyle w:val="REG-P1"/>
      </w:pPr>
      <w:r w:rsidRPr="00897F53">
        <w:t xml:space="preserve">(3) </w:t>
      </w:r>
      <w:r>
        <w:tab/>
      </w:r>
      <w:r w:rsidRPr="00897F53">
        <w:t xml:space="preserve">The Authority must implement the necessary compliance measures of the Guidelines by the International Commission on Non-Ionizing Radiation Protection as well as other compliance measures as contemplated in these regulations. </w:t>
      </w:r>
    </w:p>
    <w:p w14:paraId="12945636" w14:textId="77777777" w:rsidR="00897F53" w:rsidRDefault="00897F53" w:rsidP="00897F53">
      <w:pPr>
        <w:pStyle w:val="REG-P0"/>
      </w:pPr>
    </w:p>
    <w:p w14:paraId="66E28DF7" w14:textId="1D1D33CF" w:rsidR="00897F53" w:rsidRDefault="00897F53" w:rsidP="003E1851">
      <w:pPr>
        <w:pStyle w:val="REG-P1"/>
      </w:pPr>
      <w:r w:rsidRPr="00897F53">
        <w:t xml:space="preserve">(4) </w:t>
      </w:r>
      <w:r>
        <w:tab/>
      </w:r>
      <w:r w:rsidRPr="00897F53">
        <w:t xml:space="preserve">An importer of non-ionising radiation source or an owner of a device or an installation must always ensure compliance with the basic restrictions and the Authority must take measures to ensure that the importer or owner complies with such basic restrictions. </w:t>
      </w:r>
    </w:p>
    <w:p w14:paraId="21580195" w14:textId="77777777" w:rsidR="00897F53" w:rsidRDefault="00897F53" w:rsidP="003E1851">
      <w:pPr>
        <w:pStyle w:val="REG-P1"/>
      </w:pPr>
    </w:p>
    <w:p w14:paraId="4197F21A" w14:textId="7DCE9481" w:rsidR="0072128F" w:rsidRDefault="0072128F" w:rsidP="0072128F">
      <w:pPr>
        <w:pStyle w:val="REG-Amend"/>
      </w:pPr>
      <w:r>
        <w:t>[</w:t>
      </w:r>
      <w:r>
        <w:t>The phrase “</w:t>
      </w:r>
      <w:r w:rsidRPr="00807904">
        <w:t>non-ionising radiation source</w:t>
      </w:r>
      <w:r>
        <w:t>” should be preceded by the article “</w:t>
      </w:r>
      <w:r>
        <w:t>a</w:t>
      </w:r>
      <w:r>
        <w:t>”.]</w:t>
      </w:r>
    </w:p>
    <w:p w14:paraId="5B3A4621" w14:textId="77777777" w:rsidR="0072128F" w:rsidRDefault="0072128F" w:rsidP="003E1851">
      <w:pPr>
        <w:pStyle w:val="REG-P1"/>
      </w:pPr>
    </w:p>
    <w:p w14:paraId="0339A23C" w14:textId="7C035E45" w:rsidR="007A66E1" w:rsidRPr="00C877AE" w:rsidRDefault="00897F53" w:rsidP="003E1851">
      <w:pPr>
        <w:pStyle w:val="REG-P1"/>
      </w:pPr>
      <w:r w:rsidRPr="00897F53">
        <w:t xml:space="preserve">(5) </w:t>
      </w:r>
      <w:r>
        <w:tab/>
      </w:r>
      <w:r w:rsidRPr="00897F53">
        <w:t>An importer of non-ionising radiation source or an owner of a device or an installation may not allow such device or an installation to exceed the basic restrictions but such device or an installation may exceed reference levels.</w:t>
      </w:r>
    </w:p>
    <w:p w14:paraId="7CE1EE30" w14:textId="1DF18A75" w:rsidR="007A66E1" w:rsidRDefault="007A66E1" w:rsidP="0098007E">
      <w:pPr>
        <w:pStyle w:val="REG-P0"/>
      </w:pPr>
    </w:p>
    <w:p w14:paraId="1242848A" w14:textId="79EEBF8C" w:rsidR="0072128F" w:rsidRDefault="0072128F" w:rsidP="0072128F">
      <w:pPr>
        <w:pStyle w:val="REG-Amend"/>
      </w:pPr>
      <w:r>
        <w:t>[The phrase “</w:t>
      </w:r>
      <w:r w:rsidRPr="00807904">
        <w:t>non-ionising radiation source</w:t>
      </w:r>
      <w:r>
        <w:t>” should be preceded by the article “a”.</w:t>
      </w:r>
    </w:p>
    <w:p w14:paraId="56595BF5" w14:textId="76321223" w:rsidR="00ED36CD" w:rsidRDefault="00ED36CD" w:rsidP="00ED36CD">
      <w:pPr>
        <w:pStyle w:val="REG-Amend"/>
      </w:pPr>
      <w:r>
        <w:t xml:space="preserve">The word “an” is superfluous </w:t>
      </w:r>
      <w:r w:rsidR="0072128F">
        <w:t xml:space="preserve">in the phrase </w:t>
      </w:r>
      <w:r>
        <w:t>“</w:t>
      </w:r>
      <w:r w:rsidR="0072128F" w:rsidRPr="00897F53">
        <w:t>such device or an installation</w:t>
      </w:r>
      <w:r>
        <w:t>”.]</w:t>
      </w:r>
    </w:p>
    <w:p w14:paraId="46AB7C18" w14:textId="77777777" w:rsidR="00ED36CD" w:rsidRPr="00C877AE" w:rsidRDefault="00ED36CD" w:rsidP="0098007E">
      <w:pPr>
        <w:pStyle w:val="REG-P0"/>
      </w:pPr>
    </w:p>
    <w:p w14:paraId="27683667" w14:textId="77777777" w:rsidR="00897F53" w:rsidRDefault="00897F53" w:rsidP="0098007E">
      <w:pPr>
        <w:pStyle w:val="REG-P0"/>
        <w:rPr>
          <w:b/>
        </w:rPr>
      </w:pPr>
      <w:r w:rsidRPr="00897F53">
        <w:rPr>
          <w:b/>
        </w:rPr>
        <w:t xml:space="preserve">Public exposure protection </w:t>
      </w:r>
    </w:p>
    <w:p w14:paraId="4D6B941F" w14:textId="77777777" w:rsidR="00897F53" w:rsidRDefault="00897F53" w:rsidP="0098007E">
      <w:pPr>
        <w:pStyle w:val="REG-P0"/>
        <w:rPr>
          <w:b/>
        </w:rPr>
      </w:pPr>
    </w:p>
    <w:p w14:paraId="4D458058" w14:textId="47DFEE8B" w:rsidR="00897F53" w:rsidRDefault="00897F53" w:rsidP="003E1851">
      <w:pPr>
        <w:pStyle w:val="REG-P1"/>
      </w:pPr>
      <w:r w:rsidRPr="00897F53">
        <w:rPr>
          <w:b/>
        </w:rPr>
        <w:t xml:space="preserve">7. </w:t>
      </w:r>
      <w:r>
        <w:rPr>
          <w:b/>
        </w:rPr>
        <w:tab/>
      </w:r>
      <w:r w:rsidRPr="00897F53">
        <w:t xml:space="preserve">(1) </w:t>
      </w:r>
      <w:r>
        <w:tab/>
      </w:r>
      <w:r w:rsidRPr="00897F53">
        <w:t xml:space="preserve">The limits of exposure to non-ionising radiation for members of the public in respect of </w:t>
      </w:r>
      <w:r w:rsidR="005A6CEE">
        <w:t>-</w:t>
      </w:r>
      <w:r w:rsidRPr="00897F53">
        <w:t xml:space="preserve"> </w:t>
      </w:r>
    </w:p>
    <w:p w14:paraId="650B8AB0" w14:textId="77777777" w:rsidR="00897F53" w:rsidRDefault="00897F53" w:rsidP="003E1851">
      <w:pPr>
        <w:pStyle w:val="REG-Pa"/>
      </w:pPr>
    </w:p>
    <w:p w14:paraId="44B499B1" w14:textId="60132932" w:rsidR="00897F53" w:rsidRDefault="00897F53" w:rsidP="003E1851">
      <w:pPr>
        <w:pStyle w:val="REG-Pa"/>
      </w:pPr>
      <w:r w:rsidRPr="00897F53">
        <w:t>(a)</w:t>
      </w:r>
      <w:r>
        <w:tab/>
      </w:r>
      <w:r w:rsidRPr="00897F53">
        <w:t xml:space="preserve">basic restrictions in areas where members of the public have access are as set out in Table 1 of the Annexure; and </w:t>
      </w:r>
    </w:p>
    <w:p w14:paraId="3C25317D" w14:textId="77777777" w:rsidR="00897F53" w:rsidRDefault="00897F53" w:rsidP="003E1851">
      <w:pPr>
        <w:pStyle w:val="REG-Pa"/>
      </w:pPr>
    </w:p>
    <w:p w14:paraId="0F5A34D3" w14:textId="57EA6BED" w:rsidR="00897F53" w:rsidRDefault="00897F53" w:rsidP="003E1851">
      <w:pPr>
        <w:pStyle w:val="REG-Pa"/>
      </w:pPr>
      <w:r w:rsidRPr="00897F53">
        <w:t xml:space="preserve">(b) </w:t>
      </w:r>
      <w:r>
        <w:tab/>
      </w:r>
      <w:r w:rsidRPr="00897F53">
        <w:t xml:space="preserve">reference levels in areas where members of the public have access are as set out in Table 2 of the Annexure. </w:t>
      </w:r>
    </w:p>
    <w:p w14:paraId="029F49DE" w14:textId="77777777" w:rsidR="00897F53" w:rsidRDefault="00897F53" w:rsidP="003E1851">
      <w:pPr>
        <w:pStyle w:val="REG-Pa"/>
      </w:pPr>
    </w:p>
    <w:p w14:paraId="217BA98A" w14:textId="778E0540" w:rsidR="00897F53" w:rsidRDefault="00897F53" w:rsidP="003E1851">
      <w:pPr>
        <w:pStyle w:val="REG-P1"/>
      </w:pPr>
      <w:r w:rsidRPr="00897F53">
        <w:t xml:space="preserve">(2) </w:t>
      </w:r>
      <w:r>
        <w:tab/>
      </w:r>
      <w:r w:rsidRPr="00897F53">
        <w:t xml:space="preserve">An area to which members of the public have access and in or at which non-ionising radiation exposure is at or below </w:t>
      </w:r>
      <w:r w:rsidR="005A6CEE">
        <w:t>-</w:t>
      </w:r>
      <w:r w:rsidRPr="00897F53">
        <w:t xml:space="preserve"> </w:t>
      </w:r>
    </w:p>
    <w:p w14:paraId="36421843" w14:textId="77777777" w:rsidR="00897F53" w:rsidRDefault="00897F53" w:rsidP="003E1851">
      <w:pPr>
        <w:pStyle w:val="REG-Pa"/>
      </w:pPr>
    </w:p>
    <w:p w14:paraId="3990DAE4" w14:textId="36C62C61" w:rsidR="00897F53" w:rsidRDefault="00897F53" w:rsidP="003E1851">
      <w:pPr>
        <w:pStyle w:val="REG-Pa"/>
      </w:pPr>
      <w:r w:rsidRPr="00897F53">
        <w:t xml:space="preserve">(a) </w:t>
      </w:r>
      <w:r>
        <w:tab/>
      </w:r>
      <w:r w:rsidRPr="00897F53">
        <w:t xml:space="preserve">the basic restrictions set out in Table 1 of the Annexure, complies with these regulations; and </w:t>
      </w:r>
    </w:p>
    <w:p w14:paraId="3F0A3518" w14:textId="77777777" w:rsidR="00897F53" w:rsidRDefault="00897F53" w:rsidP="003E1851">
      <w:pPr>
        <w:pStyle w:val="REG-Pa"/>
      </w:pPr>
    </w:p>
    <w:p w14:paraId="76E73F2C" w14:textId="7167FA47" w:rsidR="00897F53" w:rsidRDefault="00897F53" w:rsidP="003E1851">
      <w:pPr>
        <w:pStyle w:val="REG-Pa"/>
      </w:pPr>
      <w:r w:rsidRPr="00897F53">
        <w:lastRenderedPageBreak/>
        <w:t xml:space="preserve">(b) </w:t>
      </w:r>
      <w:r>
        <w:tab/>
      </w:r>
      <w:r w:rsidRPr="00897F53">
        <w:t xml:space="preserve">the reference levels set out in Table 2 of the Annexure, complies with these regulations. </w:t>
      </w:r>
    </w:p>
    <w:p w14:paraId="6DE188AF" w14:textId="77777777" w:rsidR="00897F53" w:rsidRDefault="00897F53" w:rsidP="003E1851">
      <w:pPr>
        <w:pStyle w:val="REG-Pa"/>
      </w:pPr>
    </w:p>
    <w:p w14:paraId="75E21EE2" w14:textId="42C71CA1" w:rsidR="00897F53" w:rsidRDefault="00897F53" w:rsidP="003E1851">
      <w:pPr>
        <w:pStyle w:val="REG-P1"/>
      </w:pPr>
      <w:r w:rsidRPr="00897F53">
        <w:t xml:space="preserve">(3) </w:t>
      </w:r>
      <w:r>
        <w:tab/>
      </w:r>
      <w:r w:rsidRPr="00897F53">
        <w:t>An area to which members of the public have access and in or at which non</w:t>
      </w:r>
      <w:r w:rsidR="00ED36CD">
        <w:t>-</w:t>
      </w:r>
      <w:r w:rsidRPr="00897F53">
        <w:t xml:space="preserve">ionising radiation exposure exceeds the basic restrictions set out in Table 1 of the Annexure are not in compliance with these regulations and such area is subject to the measures contemplated in regulation 9. </w:t>
      </w:r>
    </w:p>
    <w:p w14:paraId="4D304332" w14:textId="77777777" w:rsidR="00897F53" w:rsidRDefault="00897F53" w:rsidP="003E1851">
      <w:pPr>
        <w:pStyle w:val="REG-P1"/>
      </w:pPr>
    </w:p>
    <w:p w14:paraId="60366FB2" w14:textId="7DF67718" w:rsidR="00572ABF" w:rsidRDefault="00572ABF" w:rsidP="00572ABF">
      <w:pPr>
        <w:pStyle w:val="REG-Amend"/>
      </w:pPr>
      <w:r>
        <w:t>[The verb “are” should be “is” to accord with the subject “An area”.]</w:t>
      </w:r>
    </w:p>
    <w:p w14:paraId="61E1FD9A" w14:textId="77777777" w:rsidR="00572ABF" w:rsidRDefault="00572ABF" w:rsidP="003E1851">
      <w:pPr>
        <w:pStyle w:val="REG-P1"/>
      </w:pPr>
    </w:p>
    <w:p w14:paraId="299637AC" w14:textId="416CF9C7" w:rsidR="007A66E1" w:rsidRPr="00C877AE" w:rsidRDefault="00897F53" w:rsidP="003E1851">
      <w:pPr>
        <w:pStyle w:val="REG-P1"/>
      </w:pPr>
      <w:r w:rsidRPr="00897F53">
        <w:t xml:space="preserve">(4) </w:t>
      </w:r>
      <w:r>
        <w:tab/>
      </w:r>
      <w:r w:rsidRPr="00897F53">
        <w:t>An importer of non-ionising radiation source or an owner of a device or an installation must undertake an evaluation to establish whether exposure to non-ionising radiation exceeds the basic restrictions in respect of an area where members of the public have access and in or at which the reference levels set out in Table 2 of the Annexure are exceeded.</w:t>
      </w:r>
    </w:p>
    <w:p w14:paraId="02E29568" w14:textId="77777777" w:rsidR="007A66E1" w:rsidRDefault="007A66E1" w:rsidP="0098007E">
      <w:pPr>
        <w:pStyle w:val="REG-P0"/>
      </w:pPr>
    </w:p>
    <w:p w14:paraId="2B0B404A" w14:textId="69AE2A80" w:rsidR="00572ABF" w:rsidRDefault="00572ABF" w:rsidP="00572ABF">
      <w:pPr>
        <w:pStyle w:val="REG-Amend"/>
      </w:pPr>
      <w:r>
        <w:t>[The phrase “</w:t>
      </w:r>
      <w:r w:rsidRPr="00807904">
        <w:t>non-ionising radiation source</w:t>
      </w:r>
      <w:r>
        <w:t>” should be preceded by the article “a”.</w:t>
      </w:r>
      <w:r>
        <w:t>]</w:t>
      </w:r>
    </w:p>
    <w:p w14:paraId="533ECB54" w14:textId="77777777" w:rsidR="00572ABF" w:rsidRPr="00C877AE" w:rsidRDefault="00572ABF" w:rsidP="0098007E">
      <w:pPr>
        <w:pStyle w:val="REG-P0"/>
      </w:pPr>
    </w:p>
    <w:p w14:paraId="1BC0D1F8" w14:textId="77777777" w:rsidR="00897F53" w:rsidRDefault="00897F53" w:rsidP="00897F53">
      <w:pPr>
        <w:pStyle w:val="REG-Pi"/>
        <w:ind w:left="0" w:firstLine="0"/>
        <w:rPr>
          <w:b/>
        </w:rPr>
      </w:pPr>
      <w:r w:rsidRPr="00897F53">
        <w:rPr>
          <w:b/>
        </w:rPr>
        <w:t xml:space="preserve">Occupational exposure protection </w:t>
      </w:r>
    </w:p>
    <w:p w14:paraId="7A682A8C" w14:textId="77777777" w:rsidR="00897F53" w:rsidRDefault="00897F53" w:rsidP="00897F53">
      <w:pPr>
        <w:pStyle w:val="REG-Pi"/>
        <w:ind w:left="0" w:firstLine="0"/>
        <w:rPr>
          <w:b/>
        </w:rPr>
      </w:pPr>
    </w:p>
    <w:p w14:paraId="5942900E" w14:textId="78A2C850" w:rsidR="00897F53" w:rsidRDefault="00897F53" w:rsidP="003E1851">
      <w:pPr>
        <w:pStyle w:val="REG-P1"/>
      </w:pPr>
      <w:r w:rsidRPr="00897F53">
        <w:rPr>
          <w:b/>
        </w:rPr>
        <w:t>8.</w:t>
      </w:r>
      <w:r w:rsidRPr="00897F53">
        <w:t xml:space="preserve"> </w:t>
      </w:r>
      <w:r>
        <w:tab/>
      </w:r>
      <w:r w:rsidRPr="00897F53">
        <w:t xml:space="preserve">(1) </w:t>
      </w:r>
      <w:r>
        <w:tab/>
      </w:r>
      <w:r w:rsidRPr="00897F53">
        <w:t xml:space="preserve">The limit of exposure to non-ionising radiation for trained workers in respect of </w:t>
      </w:r>
      <w:r w:rsidR="005A6CEE">
        <w:t>-</w:t>
      </w:r>
      <w:r w:rsidRPr="00897F53">
        <w:t xml:space="preserve"> </w:t>
      </w:r>
    </w:p>
    <w:p w14:paraId="7AF2737D" w14:textId="77777777" w:rsidR="003E1851" w:rsidRDefault="003E1851" w:rsidP="003E1851">
      <w:pPr>
        <w:pStyle w:val="REG-Pa"/>
      </w:pPr>
    </w:p>
    <w:p w14:paraId="6B40111A" w14:textId="49451990" w:rsidR="00897F53" w:rsidRDefault="00897F53" w:rsidP="003E1851">
      <w:pPr>
        <w:pStyle w:val="REG-Pa"/>
      </w:pPr>
      <w:r w:rsidRPr="00897F53">
        <w:t xml:space="preserve">(a) </w:t>
      </w:r>
      <w:r>
        <w:tab/>
      </w:r>
      <w:r w:rsidRPr="00897F53">
        <w:t>basic restrictions in their occupational exposure are as set out in Table 3 of the Annexure; and</w:t>
      </w:r>
    </w:p>
    <w:p w14:paraId="1FAEC3AF" w14:textId="77777777" w:rsidR="00897F53" w:rsidRDefault="00897F53" w:rsidP="003E1851">
      <w:pPr>
        <w:pStyle w:val="REG-Pa"/>
      </w:pPr>
    </w:p>
    <w:p w14:paraId="290AA377" w14:textId="225E1A98" w:rsidR="007A66E1" w:rsidRPr="00C877AE" w:rsidRDefault="00897F53" w:rsidP="003E1851">
      <w:pPr>
        <w:pStyle w:val="REG-Pa"/>
      </w:pPr>
      <w:r w:rsidRPr="00897F53">
        <w:t xml:space="preserve">(b) </w:t>
      </w:r>
      <w:r>
        <w:tab/>
      </w:r>
      <w:r w:rsidRPr="00897F53">
        <w:t>reference levels in their occupational exposure are as set out in Table 4 of the Annexure.</w:t>
      </w:r>
    </w:p>
    <w:p w14:paraId="42317DB8" w14:textId="77777777" w:rsidR="007A66E1" w:rsidRPr="00C877AE" w:rsidRDefault="007A66E1" w:rsidP="0098007E">
      <w:pPr>
        <w:pStyle w:val="REG-Pi"/>
      </w:pPr>
    </w:p>
    <w:p w14:paraId="02B6D462" w14:textId="13AC904B" w:rsidR="00897F53" w:rsidRDefault="00897F53" w:rsidP="003E1851">
      <w:pPr>
        <w:pStyle w:val="REG-P1"/>
      </w:pPr>
      <w:r w:rsidRPr="00897F53">
        <w:t xml:space="preserve">(2) </w:t>
      </w:r>
      <w:r>
        <w:tab/>
      </w:r>
      <w:r w:rsidRPr="00897F53">
        <w:t xml:space="preserve">Unless an evaluation indicates that there is no risk of adverse health effect, the limit of exposure to non-ionising radiation for occupational exposure of the categories of workers referred to in subregulation (3) must be the same limit as the limit applicable to members of the public, namely </w:t>
      </w:r>
      <w:r w:rsidR="005A6CEE">
        <w:t>-</w:t>
      </w:r>
      <w:r w:rsidRPr="00897F53">
        <w:t xml:space="preserve"> </w:t>
      </w:r>
    </w:p>
    <w:p w14:paraId="60185336" w14:textId="77777777" w:rsidR="00897F53" w:rsidRDefault="00897F53" w:rsidP="003E1851">
      <w:pPr>
        <w:pStyle w:val="REG-Pa"/>
      </w:pPr>
    </w:p>
    <w:p w14:paraId="79AB5030" w14:textId="206D71A4" w:rsidR="00897F53" w:rsidRDefault="00897F53" w:rsidP="003E1851">
      <w:pPr>
        <w:pStyle w:val="REG-Pa"/>
      </w:pPr>
      <w:r w:rsidRPr="00897F53">
        <w:t xml:space="preserve">(a) </w:t>
      </w:r>
      <w:r>
        <w:tab/>
      </w:r>
      <w:r w:rsidRPr="00897F53">
        <w:t xml:space="preserve">basic restrictions as set out in Table 1 of the Annexure; and </w:t>
      </w:r>
    </w:p>
    <w:p w14:paraId="1EEC0970" w14:textId="77777777" w:rsidR="00897F53" w:rsidRDefault="00897F53" w:rsidP="003E1851">
      <w:pPr>
        <w:pStyle w:val="REG-Pa"/>
      </w:pPr>
    </w:p>
    <w:p w14:paraId="3C43F8C9" w14:textId="61C99951" w:rsidR="00897F53" w:rsidRDefault="00897F53" w:rsidP="003E1851">
      <w:pPr>
        <w:pStyle w:val="REG-Pa"/>
      </w:pPr>
      <w:r w:rsidRPr="00897F53">
        <w:t xml:space="preserve">(b) </w:t>
      </w:r>
      <w:r>
        <w:tab/>
      </w:r>
      <w:r w:rsidRPr="00897F53">
        <w:t xml:space="preserve">reference levels as set out in Table 2 of the Annexure. </w:t>
      </w:r>
    </w:p>
    <w:p w14:paraId="5E834276" w14:textId="77777777" w:rsidR="00897F53" w:rsidRDefault="00897F53" w:rsidP="0098007E">
      <w:pPr>
        <w:pStyle w:val="REG-P0"/>
      </w:pPr>
    </w:p>
    <w:p w14:paraId="588CBDB4" w14:textId="24F25A6B" w:rsidR="00897F53" w:rsidRDefault="00897F53" w:rsidP="003E1851">
      <w:pPr>
        <w:pStyle w:val="REG-P1"/>
      </w:pPr>
      <w:r w:rsidRPr="00897F53">
        <w:t>(3)</w:t>
      </w:r>
      <w:r>
        <w:tab/>
      </w:r>
      <w:r w:rsidRPr="00897F53">
        <w:t xml:space="preserve"> The categories of workers referred to in subregulation (2) are </w:t>
      </w:r>
      <w:r w:rsidR="005A6CEE">
        <w:t>-</w:t>
      </w:r>
      <w:r w:rsidRPr="00897F53">
        <w:t xml:space="preserve"> </w:t>
      </w:r>
    </w:p>
    <w:p w14:paraId="4C4B56AB" w14:textId="77777777" w:rsidR="00897F53" w:rsidRDefault="00897F53" w:rsidP="003E1851">
      <w:pPr>
        <w:pStyle w:val="REG-Pa"/>
      </w:pPr>
    </w:p>
    <w:p w14:paraId="0A0476E5" w14:textId="54B071D9" w:rsidR="00897F53" w:rsidRDefault="00897F53" w:rsidP="003E1851">
      <w:pPr>
        <w:pStyle w:val="REG-Pa"/>
      </w:pPr>
      <w:r w:rsidRPr="00897F53">
        <w:t xml:space="preserve">(a) </w:t>
      </w:r>
      <w:r>
        <w:tab/>
      </w:r>
      <w:r w:rsidRPr="00897F53">
        <w:t xml:space="preserve">workers who share the same area or environment with members of the public by virtue of the nature of the service being provided to the public; </w:t>
      </w:r>
    </w:p>
    <w:p w14:paraId="2A5755F0" w14:textId="77777777" w:rsidR="00897F53" w:rsidRDefault="00897F53" w:rsidP="003E1851">
      <w:pPr>
        <w:pStyle w:val="REG-Pa"/>
      </w:pPr>
    </w:p>
    <w:p w14:paraId="506F56BD" w14:textId="2108149B" w:rsidR="00897F53" w:rsidRDefault="00897F53" w:rsidP="003E1851">
      <w:pPr>
        <w:pStyle w:val="REG-Pa"/>
      </w:pPr>
      <w:r w:rsidRPr="00897F53">
        <w:t xml:space="preserve">(b) </w:t>
      </w:r>
      <w:r>
        <w:tab/>
      </w:r>
      <w:r w:rsidRPr="00897F53">
        <w:t>pregnant women who have informed their employers of their pregnancies;</w:t>
      </w:r>
    </w:p>
    <w:p w14:paraId="19CD5EF1" w14:textId="77777777" w:rsidR="00897F53" w:rsidRDefault="00897F53" w:rsidP="003E1851">
      <w:pPr>
        <w:pStyle w:val="REG-Pa"/>
      </w:pPr>
    </w:p>
    <w:p w14:paraId="0EE6F60A" w14:textId="57F9E728" w:rsidR="00897F53" w:rsidRDefault="00897F53" w:rsidP="003E1851">
      <w:pPr>
        <w:pStyle w:val="REG-Pa"/>
      </w:pPr>
      <w:r w:rsidRPr="00897F53">
        <w:t xml:space="preserve">(c) </w:t>
      </w:r>
      <w:r>
        <w:tab/>
      </w:r>
      <w:r w:rsidRPr="00897F53">
        <w:t>workers who have metallic prostheses, cardiac pacemakers, defibrillators and other electro-medical devices that are known to suffer adverse interference from non</w:t>
      </w:r>
      <w:r w:rsidR="00ED36CD">
        <w:t>-</w:t>
      </w:r>
      <w:r w:rsidRPr="00897F53">
        <w:t xml:space="preserve">ionising radiation exposure levels; and </w:t>
      </w:r>
    </w:p>
    <w:p w14:paraId="4D75B430" w14:textId="77777777" w:rsidR="00897F53" w:rsidRDefault="00897F53" w:rsidP="003E1851">
      <w:pPr>
        <w:pStyle w:val="REG-Pa"/>
      </w:pPr>
    </w:p>
    <w:p w14:paraId="7F7A18E4" w14:textId="30E49914" w:rsidR="00897F53" w:rsidRDefault="00897F53" w:rsidP="003E1851">
      <w:pPr>
        <w:pStyle w:val="REG-Pa"/>
      </w:pPr>
      <w:r w:rsidRPr="00897F53">
        <w:t xml:space="preserve">(d) </w:t>
      </w:r>
      <w:r>
        <w:tab/>
      </w:r>
      <w:r w:rsidRPr="00897F53">
        <w:t xml:space="preserve">workers who have not received appropriate training regarding workplace procedures in areas where the basic restrictions, set out in Table 1 of the Annexure, could be exceeded. </w:t>
      </w:r>
    </w:p>
    <w:p w14:paraId="6DE4B44D" w14:textId="77777777" w:rsidR="00897F53" w:rsidRDefault="00897F53" w:rsidP="00897F53">
      <w:pPr>
        <w:pStyle w:val="REG-P0"/>
        <w:ind w:left="1134" w:hanging="1134"/>
      </w:pPr>
    </w:p>
    <w:p w14:paraId="0909B22F" w14:textId="146766CC" w:rsidR="00897F53" w:rsidRDefault="00897F53" w:rsidP="003E1851">
      <w:pPr>
        <w:pStyle w:val="REG-P1"/>
      </w:pPr>
      <w:r w:rsidRPr="00897F53">
        <w:lastRenderedPageBreak/>
        <w:t xml:space="preserve">(4) </w:t>
      </w:r>
      <w:r>
        <w:tab/>
      </w:r>
      <w:r w:rsidRPr="00897F53">
        <w:t xml:space="preserve">Subject to subregulation (2), workplaces where workers are exposed to non-ionising radiation and the limit </w:t>
      </w:r>
      <w:r w:rsidR="005A6CEE">
        <w:t>-</w:t>
      </w:r>
      <w:r w:rsidRPr="00897F53">
        <w:t xml:space="preserve"> </w:t>
      </w:r>
    </w:p>
    <w:p w14:paraId="2E313A0A" w14:textId="77777777" w:rsidR="00897F53" w:rsidRDefault="00897F53" w:rsidP="00897F53">
      <w:pPr>
        <w:pStyle w:val="REG-P0"/>
      </w:pPr>
    </w:p>
    <w:p w14:paraId="3DA09D7C" w14:textId="57BAC271" w:rsidR="00897F53" w:rsidRDefault="00897F53" w:rsidP="003E1851">
      <w:pPr>
        <w:pStyle w:val="REG-Pa"/>
      </w:pPr>
      <w:r w:rsidRPr="00897F53">
        <w:t xml:space="preserve">(a) </w:t>
      </w:r>
      <w:r>
        <w:tab/>
      </w:r>
      <w:r w:rsidRPr="00897F53">
        <w:t xml:space="preserve">is at or below the references levels set out in Table 4 of the Annexure, complies with these regulations; and </w:t>
      </w:r>
    </w:p>
    <w:p w14:paraId="3C19F84F" w14:textId="77777777" w:rsidR="00897F53" w:rsidRDefault="00897F53" w:rsidP="003E1851">
      <w:pPr>
        <w:pStyle w:val="REG-Pa"/>
      </w:pPr>
    </w:p>
    <w:p w14:paraId="28BF2B28" w14:textId="6DC50856" w:rsidR="00897F53" w:rsidRDefault="00897F53" w:rsidP="003E1851">
      <w:pPr>
        <w:pStyle w:val="REG-Pa"/>
      </w:pPr>
      <w:r w:rsidRPr="00897F53">
        <w:t>(b)</w:t>
      </w:r>
      <w:r>
        <w:tab/>
      </w:r>
      <w:r w:rsidRPr="00897F53">
        <w:t xml:space="preserve">exceeds the reference levels set out in Table 4 of the Annexure, an evaluation must be undertaken to establish if non-ionising radiation exposure exceeds the basic restrictions. </w:t>
      </w:r>
    </w:p>
    <w:p w14:paraId="6EB0D929" w14:textId="77777777" w:rsidR="00897F53" w:rsidRDefault="00897F53" w:rsidP="00897F53">
      <w:pPr>
        <w:pStyle w:val="REG-P0"/>
      </w:pPr>
    </w:p>
    <w:p w14:paraId="2E9BDE5C" w14:textId="31D093A0" w:rsidR="00897F53" w:rsidRDefault="00897F53" w:rsidP="003E1851">
      <w:pPr>
        <w:pStyle w:val="REG-P1"/>
      </w:pPr>
      <w:r w:rsidRPr="00897F53">
        <w:t xml:space="preserve">(5) </w:t>
      </w:r>
      <w:r>
        <w:tab/>
      </w:r>
      <w:r w:rsidRPr="00897F53">
        <w:t xml:space="preserve">Subject to subregulation 2, workplaces where workers are exposed to non-ionising radiation and the limit </w:t>
      </w:r>
      <w:r w:rsidR="005A6CEE">
        <w:t>-</w:t>
      </w:r>
      <w:r w:rsidRPr="00897F53">
        <w:t xml:space="preserve"> </w:t>
      </w:r>
    </w:p>
    <w:p w14:paraId="46BAF82D" w14:textId="77777777" w:rsidR="00897F53" w:rsidRDefault="00897F53" w:rsidP="003E1851">
      <w:pPr>
        <w:pStyle w:val="REG-Pa"/>
      </w:pPr>
    </w:p>
    <w:p w14:paraId="04499861" w14:textId="1B80341F" w:rsidR="00897F53" w:rsidRDefault="00897F53" w:rsidP="003E1851">
      <w:pPr>
        <w:pStyle w:val="REG-Pa"/>
      </w:pPr>
      <w:r w:rsidRPr="00897F53">
        <w:t xml:space="preserve">(a) </w:t>
      </w:r>
      <w:r>
        <w:tab/>
      </w:r>
      <w:r w:rsidRPr="00897F53">
        <w:t>is at or below the basic restrictions set out in Table 3 of the Annexure such workplaces are in compliance with these regulations; and</w:t>
      </w:r>
    </w:p>
    <w:p w14:paraId="195A2923" w14:textId="77777777" w:rsidR="00897F53" w:rsidRDefault="00897F53" w:rsidP="003E1851">
      <w:pPr>
        <w:pStyle w:val="REG-Pa"/>
      </w:pPr>
    </w:p>
    <w:p w14:paraId="38828885" w14:textId="097C7B41" w:rsidR="005A3993" w:rsidRDefault="00897F53" w:rsidP="003E1851">
      <w:pPr>
        <w:pStyle w:val="REG-Pa"/>
      </w:pPr>
      <w:r w:rsidRPr="00897F53">
        <w:t xml:space="preserve">(b) </w:t>
      </w:r>
      <w:r>
        <w:tab/>
      </w:r>
      <w:r w:rsidRPr="00897F53">
        <w:t>exceeds the basic restrictions set out in Table 3 of the Annexure are not in compliance with these regulations and are subjected to the measures contemplated in regulation 9.</w:t>
      </w:r>
    </w:p>
    <w:p w14:paraId="3F32CB2D" w14:textId="6DB2216B" w:rsidR="00897F53" w:rsidRDefault="00897F53" w:rsidP="00FF64CD">
      <w:pPr>
        <w:pStyle w:val="REG-Amend"/>
      </w:pPr>
    </w:p>
    <w:p w14:paraId="65B8E747" w14:textId="29DC3208" w:rsidR="00ED36CD" w:rsidRDefault="00ED36CD" w:rsidP="00ED36CD">
      <w:pPr>
        <w:pStyle w:val="REG-Amend"/>
      </w:pPr>
      <w:r>
        <w:t>[The word “subjected” should be “subject”.]</w:t>
      </w:r>
    </w:p>
    <w:p w14:paraId="68474544" w14:textId="77777777" w:rsidR="00ED36CD" w:rsidRDefault="00ED36CD" w:rsidP="00897F53">
      <w:pPr>
        <w:pStyle w:val="REG-P0"/>
        <w:ind w:left="1134" w:hanging="1134"/>
      </w:pPr>
    </w:p>
    <w:p w14:paraId="13BD9D6E" w14:textId="77777777" w:rsidR="00897F53" w:rsidRDefault="00897F53" w:rsidP="00897F53">
      <w:pPr>
        <w:pStyle w:val="REG-P0"/>
        <w:rPr>
          <w:b/>
        </w:rPr>
      </w:pPr>
      <w:r w:rsidRPr="00897F53">
        <w:rPr>
          <w:b/>
        </w:rPr>
        <w:t>Compliance</w:t>
      </w:r>
    </w:p>
    <w:p w14:paraId="68ABFBAB" w14:textId="77777777" w:rsidR="00897F53" w:rsidRDefault="00897F53" w:rsidP="00897F53">
      <w:pPr>
        <w:pStyle w:val="REG-P0"/>
        <w:rPr>
          <w:b/>
        </w:rPr>
      </w:pPr>
    </w:p>
    <w:p w14:paraId="05D7DF92" w14:textId="055B72C1" w:rsidR="00897F53" w:rsidRDefault="00897F53" w:rsidP="003E1851">
      <w:pPr>
        <w:pStyle w:val="REG-P1"/>
      </w:pPr>
      <w:r w:rsidRPr="00897F53">
        <w:rPr>
          <w:b/>
        </w:rPr>
        <w:t>9.</w:t>
      </w:r>
      <w:r w:rsidRPr="00897F53">
        <w:t xml:space="preserve"> </w:t>
      </w:r>
      <w:r>
        <w:tab/>
      </w:r>
      <w:r w:rsidRPr="00897F53">
        <w:t>(1) In ensuring compliance with these regulations, the Authority may require an importer of non-ionising radiation sources or an owner of a device or an installation to take appropriate measures in areas where the public and workers have access and which areas do not complying with these regulations.</w:t>
      </w:r>
    </w:p>
    <w:p w14:paraId="32C992AE" w14:textId="12B70EB2" w:rsidR="003E1851" w:rsidRDefault="003E1851" w:rsidP="00FF64CD">
      <w:pPr>
        <w:pStyle w:val="REG-Amend"/>
      </w:pPr>
    </w:p>
    <w:p w14:paraId="03784DD3" w14:textId="3764148A" w:rsidR="00ED36CD" w:rsidRDefault="00ED36CD" w:rsidP="00ED36CD">
      <w:pPr>
        <w:pStyle w:val="REG-Amend"/>
      </w:pPr>
      <w:r>
        <w:t xml:space="preserve">[The </w:t>
      </w:r>
      <w:r w:rsidR="00572ABF">
        <w:t xml:space="preserve">phrase </w:t>
      </w:r>
      <w:r>
        <w:t>“</w:t>
      </w:r>
      <w:r w:rsidR="00572ABF">
        <w:t xml:space="preserve">do not </w:t>
      </w:r>
      <w:r>
        <w:t>complying” should be “</w:t>
      </w:r>
      <w:r w:rsidR="00572ABF">
        <w:t xml:space="preserve">do not </w:t>
      </w:r>
      <w:r>
        <w:t>comply”.]</w:t>
      </w:r>
    </w:p>
    <w:p w14:paraId="13BB71F2" w14:textId="77777777" w:rsidR="00ED36CD" w:rsidRDefault="00ED36CD" w:rsidP="00897F53">
      <w:pPr>
        <w:pStyle w:val="REG-P0"/>
      </w:pPr>
    </w:p>
    <w:p w14:paraId="0453E123" w14:textId="47B98253" w:rsidR="00897F53" w:rsidRDefault="00897F53" w:rsidP="003E1851">
      <w:pPr>
        <w:pStyle w:val="REG-P1"/>
      </w:pPr>
      <w:r w:rsidRPr="00897F53">
        <w:t xml:space="preserve">(2) </w:t>
      </w:r>
      <w:r>
        <w:tab/>
      </w:r>
      <w:r w:rsidRPr="00897F53">
        <w:t xml:space="preserve">The measures referred to in subregulation (1) may include </w:t>
      </w:r>
      <w:r w:rsidR="005A6CEE">
        <w:t>-</w:t>
      </w:r>
      <w:r w:rsidRPr="00897F53">
        <w:t xml:space="preserve"> </w:t>
      </w:r>
    </w:p>
    <w:p w14:paraId="4780284B" w14:textId="77777777" w:rsidR="00897F53" w:rsidRDefault="00897F53" w:rsidP="003E1851">
      <w:pPr>
        <w:pStyle w:val="REG-Pa"/>
      </w:pPr>
    </w:p>
    <w:p w14:paraId="1AA9497A" w14:textId="32728CA9" w:rsidR="00897F53" w:rsidRDefault="00897F53" w:rsidP="003E1851">
      <w:pPr>
        <w:pStyle w:val="REG-Pa"/>
      </w:pPr>
      <w:r w:rsidRPr="00897F53">
        <w:t>(a)</w:t>
      </w:r>
      <w:r>
        <w:tab/>
      </w:r>
      <w:r w:rsidRPr="00897F53">
        <w:t>putting in place surveillance requirements for purposes of measuring, calculating or monitoring of the exposure of members of the public and workers to non-ionising radiation;</w:t>
      </w:r>
    </w:p>
    <w:p w14:paraId="2A0486E0" w14:textId="77777777" w:rsidR="00897F53" w:rsidRDefault="00897F53" w:rsidP="003E1851">
      <w:pPr>
        <w:pStyle w:val="REG-Pa"/>
      </w:pPr>
    </w:p>
    <w:p w14:paraId="20DA6E87" w14:textId="6D3B239D" w:rsidR="00897F53" w:rsidRDefault="00897F53" w:rsidP="003E1851">
      <w:pPr>
        <w:pStyle w:val="REG-Pa"/>
      </w:pPr>
      <w:r w:rsidRPr="00897F53">
        <w:t xml:space="preserve">(b) </w:t>
      </w:r>
      <w:r>
        <w:tab/>
      </w:r>
      <w:r w:rsidRPr="00897F53">
        <w:t xml:space="preserve">taking mitigating action if non-ionising radiation sources are not in compliance with non-ionising radiation exposure limits; </w:t>
      </w:r>
    </w:p>
    <w:p w14:paraId="7CCDB535" w14:textId="77777777" w:rsidR="00897F53" w:rsidRDefault="00897F53" w:rsidP="003E1851">
      <w:pPr>
        <w:pStyle w:val="REG-Pa"/>
      </w:pPr>
    </w:p>
    <w:p w14:paraId="51D97C0C" w14:textId="0C4E24CC" w:rsidR="00897F53" w:rsidRDefault="00897F53" w:rsidP="003E1851">
      <w:pPr>
        <w:pStyle w:val="REG-Pa"/>
      </w:pPr>
      <w:r w:rsidRPr="00897F53">
        <w:t xml:space="preserve">(c) </w:t>
      </w:r>
      <w:r>
        <w:tab/>
      </w:r>
      <w:r w:rsidRPr="00897F53">
        <w:t xml:space="preserve">the measuring or monitoring of non-ionising radiation sources; </w:t>
      </w:r>
    </w:p>
    <w:p w14:paraId="73ACA7F5" w14:textId="77777777" w:rsidR="00897F53" w:rsidRDefault="00897F53" w:rsidP="003E1851">
      <w:pPr>
        <w:pStyle w:val="REG-Pa"/>
      </w:pPr>
    </w:p>
    <w:p w14:paraId="7BC0B510" w14:textId="70278596" w:rsidR="00897F53" w:rsidRDefault="00897F53" w:rsidP="003E1851">
      <w:pPr>
        <w:pStyle w:val="REG-Pa"/>
      </w:pPr>
      <w:r w:rsidRPr="00897F53">
        <w:t xml:space="preserve">(d) </w:t>
      </w:r>
      <w:r>
        <w:tab/>
      </w:r>
      <w:r w:rsidRPr="00897F53">
        <w:t xml:space="preserve">extending the boundaries of areas where reference levels has been exceeded and restricting access to the areas; </w:t>
      </w:r>
    </w:p>
    <w:p w14:paraId="3254263D" w14:textId="4CBC16F7" w:rsidR="00897F53" w:rsidRDefault="00897F53" w:rsidP="00FF64CD">
      <w:pPr>
        <w:pStyle w:val="REG-Amend"/>
      </w:pPr>
    </w:p>
    <w:p w14:paraId="49576EEB" w14:textId="3A97324D" w:rsidR="00ED36CD" w:rsidRDefault="00ED36CD" w:rsidP="00ED36CD">
      <w:pPr>
        <w:pStyle w:val="REG-Amend"/>
      </w:pPr>
      <w:r>
        <w:t>[The word “has” should be “have”</w:t>
      </w:r>
      <w:r w:rsidR="00572ABF">
        <w:t xml:space="preserve"> to accord with the subject “reference levels”</w:t>
      </w:r>
      <w:r>
        <w:t>.]</w:t>
      </w:r>
    </w:p>
    <w:p w14:paraId="66C9E66F" w14:textId="77777777" w:rsidR="00ED36CD" w:rsidRDefault="00ED36CD" w:rsidP="003E1851">
      <w:pPr>
        <w:pStyle w:val="REG-Pa"/>
      </w:pPr>
    </w:p>
    <w:p w14:paraId="65CDC7BE" w14:textId="77777777" w:rsidR="00ED36CD" w:rsidRDefault="00897F53" w:rsidP="003E1851">
      <w:pPr>
        <w:pStyle w:val="REG-Pa"/>
      </w:pPr>
      <w:r w:rsidRPr="00897F53">
        <w:t>(e)</w:t>
      </w:r>
      <w:r>
        <w:tab/>
      </w:r>
      <w:r w:rsidRPr="00897F53">
        <w:t xml:space="preserve">requiring the use of appropriate signs, warnings and public notices; or </w:t>
      </w:r>
    </w:p>
    <w:p w14:paraId="1D322813" w14:textId="77777777" w:rsidR="00ED36CD" w:rsidRDefault="00ED36CD" w:rsidP="003E1851">
      <w:pPr>
        <w:pStyle w:val="REG-Pa"/>
      </w:pPr>
    </w:p>
    <w:p w14:paraId="3B3A72AE" w14:textId="4ED232D6" w:rsidR="00897F53" w:rsidRDefault="00897F53" w:rsidP="003E1851">
      <w:pPr>
        <w:pStyle w:val="REG-Pa"/>
      </w:pPr>
      <w:r w:rsidRPr="00897F53">
        <w:t xml:space="preserve">(f) </w:t>
      </w:r>
      <w:r w:rsidR="00ED36CD">
        <w:tab/>
      </w:r>
      <w:r w:rsidRPr="00897F53">
        <w:t xml:space="preserve">taking any other measures that are necessary to ensure compliance with non-ionising radiation exposure limits. </w:t>
      </w:r>
    </w:p>
    <w:p w14:paraId="301875D3" w14:textId="77777777" w:rsidR="00897F53" w:rsidRDefault="00897F53" w:rsidP="00897F53">
      <w:pPr>
        <w:pStyle w:val="REG-P0"/>
      </w:pPr>
    </w:p>
    <w:p w14:paraId="0AB7140C" w14:textId="423516C8" w:rsidR="00897F53" w:rsidRDefault="00897F53" w:rsidP="003E1851">
      <w:pPr>
        <w:pStyle w:val="REG-P1"/>
      </w:pPr>
      <w:r w:rsidRPr="00897F53">
        <w:t xml:space="preserve">(3) </w:t>
      </w:r>
      <w:r>
        <w:tab/>
      </w:r>
      <w:r w:rsidRPr="00897F53">
        <w:t xml:space="preserve">In addition to any compliance measure that may be undertaken under subregulation (2), the Authority may require a manufacturer, supplier, importer or installer of a device or an </w:t>
      </w:r>
      <w:r w:rsidRPr="00897F53">
        <w:lastRenderedPageBreak/>
        <w:t>installation to demonstrate compliance with the non-ionising radiation exposure limits by means of a measurement or declaration of compliance or by a certificate of compliance.</w:t>
      </w:r>
    </w:p>
    <w:p w14:paraId="5E654897" w14:textId="38DC2B4B" w:rsidR="00897F53" w:rsidRDefault="00897F53" w:rsidP="00897F53"/>
    <w:p w14:paraId="56BFF04F" w14:textId="77777777" w:rsidR="00897F53" w:rsidRDefault="00897F53" w:rsidP="00897F53">
      <w:pPr>
        <w:rPr>
          <w:b/>
        </w:rPr>
      </w:pPr>
      <w:r w:rsidRPr="00897F53">
        <w:rPr>
          <w:b/>
        </w:rPr>
        <w:t xml:space="preserve">Reporting and management </w:t>
      </w:r>
    </w:p>
    <w:p w14:paraId="7CD24EAC" w14:textId="77777777" w:rsidR="00897F53" w:rsidRDefault="00897F53" w:rsidP="00897F53">
      <w:pPr>
        <w:rPr>
          <w:b/>
        </w:rPr>
      </w:pPr>
    </w:p>
    <w:p w14:paraId="324D66FA" w14:textId="04CFD47D" w:rsidR="00897F53" w:rsidRDefault="00897F53" w:rsidP="003E1851">
      <w:pPr>
        <w:pStyle w:val="REG-P1"/>
      </w:pPr>
      <w:r w:rsidRPr="00897F53">
        <w:rPr>
          <w:b/>
        </w:rPr>
        <w:t>10.</w:t>
      </w:r>
      <w:r>
        <w:rPr>
          <w:b/>
        </w:rPr>
        <w:tab/>
      </w:r>
      <w:r w:rsidRPr="00897F53">
        <w:t xml:space="preserve">(1) </w:t>
      </w:r>
      <w:r w:rsidR="00ED36CD">
        <w:tab/>
      </w:r>
      <w:r w:rsidRPr="00897F53">
        <w:t xml:space="preserve">Any measurement or evaluation by an importer of non-ionising radiation sources or an owner of a device or an installation to establish compliance with these regulations as may be required by the Authority must be made in the presence of a radiation protection officer or must be authorised in writing by the Authority to be made by the importer or owner. </w:t>
      </w:r>
    </w:p>
    <w:p w14:paraId="32771E86" w14:textId="77777777" w:rsidR="00897F53" w:rsidRDefault="00897F53" w:rsidP="00897F53"/>
    <w:p w14:paraId="13FD3077" w14:textId="31F52F68" w:rsidR="00897F53" w:rsidRDefault="00897F53" w:rsidP="003E1851">
      <w:pPr>
        <w:pStyle w:val="REG-P1"/>
      </w:pPr>
      <w:r w:rsidRPr="00897F53">
        <w:t xml:space="preserve">(2) </w:t>
      </w:r>
      <w:r>
        <w:tab/>
      </w:r>
      <w:r w:rsidRPr="00897F53">
        <w:t xml:space="preserve">Where there is no subsequent increase on non-ionising radiation exposure limit level after the measurement or evaluation is undertaken under subregulation (1), the result of the measurement and evaluation remains valid for a period specified by the Authority and communicated in writing by the Authority to an importer of non-ionising radiation sources or an owner of a device or an installation. </w:t>
      </w:r>
    </w:p>
    <w:p w14:paraId="6EC365BB" w14:textId="77777777" w:rsidR="00897F53" w:rsidRDefault="00897F53" w:rsidP="00897F53"/>
    <w:p w14:paraId="200CF72D" w14:textId="77777777" w:rsidR="00897F53" w:rsidRDefault="00897F53" w:rsidP="003E1851">
      <w:pPr>
        <w:pStyle w:val="REG-P1"/>
      </w:pPr>
      <w:r w:rsidRPr="00897F53">
        <w:t xml:space="preserve">(3) </w:t>
      </w:r>
      <w:r>
        <w:tab/>
      </w:r>
      <w:r w:rsidRPr="00897F53">
        <w:t xml:space="preserve">The verification of compliance is based on the conditions that leads to the highest </w:t>
      </w:r>
      <w:r w:rsidRPr="00803338">
        <w:t>non-ionising radiation exposure, worst-case conditions, produced under normal operating conditions and employ appropriate internationally recognised measurement and evaluation protocols.</w:t>
      </w:r>
    </w:p>
    <w:p w14:paraId="7B587583" w14:textId="2495109B" w:rsidR="003E1851" w:rsidRDefault="003E1851" w:rsidP="00FF64CD">
      <w:pPr>
        <w:pStyle w:val="REG-Amend"/>
      </w:pPr>
    </w:p>
    <w:p w14:paraId="7CFF09A2" w14:textId="369A5764" w:rsidR="00ED36CD" w:rsidRDefault="00ED36CD" w:rsidP="00ED36CD">
      <w:pPr>
        <w:pStyle w:val="REG-Amend"/>
      </w:pPr>
      <w:r>
        <w:t>[The word “leads” should be “lead”</w:t>
      </w:r>
      <w:r w:rsidR="00572ABF">
        <w:t xml:space="preserve"> to accord with the subject “conditions”</w:t>
      </w:r>
      <w:r>
        <w:t>.]</w:t>
      </w:r>
    </w:p>
    <w:p w14:paraId="05AAC069" w14:textId="77777777" w:rsidR="00ED36CD" w:rsidRDefault="00ED36CD" w:rsidP="00897F53">
      <w:pPr>
        <w:ind w:firstLine="567"/>
      </w:pPr>
    </w:p>
    <w:p w14:paraId="6532E95D" w14:textId="54FFFB4C" w:rsidR="00897F53" w:rsidRDefault="00897F53" w:rsidP="003E1851">
      <w:pPr>
        <w:pStyle w:val="REG-P1"/>
      </w:pPr>
      <w:r w:rsidRPr="00897F53">
        <w:t>(4)</w:t>
      </w:r>
      <w:r>
        <w:tab/>
      </w:r>
      <w:r w:rsidRPr="00897F53">
        <w:t xml:space="preserve"> If measurements are not made under the highest non-ionising radiation exposure, worst-case conditions, as contemplated in subregulation (3), the non-ionising radiation exposure for the worst-case conditions is calculated or extrapolated on the basis of the measured values and measurements must take into account exposure to multiple non-ionising radiation sources and </w:t>
      </w:r>
      <w:r w:rsidRPr="00056F73">
        <w:rPr>
          <w:spacing w:val="-2"/>
        </w:rPr>
        <w:t>frequencies using the appropriate internationally recognised measurement and evaluation protocols.</w:t>
      </w:r>
      <w:r w:rsidRPr="00897F53">
        <w:t xml:space="preserve"> </w:t>
      </w:r>
    </w:p>
    <w:p w14:paraId="4FF8BEB1" w14:textId="77777777" w:rsidR="00897F53" w:rsidRDefault="00897F53" w:rsidP="00897F53">
      <w:pPr>
        <w:ind w:firstLine="567"/>
      </w:pPr>
    </w:p>
    <w:p w14:paraId="038EE998" w14:textId="767515D8" w:rsidR="00897F53" w:rsidRDefault="00897F53" w:rsidP="003E1851">
      <w:pPr>
        <w:pStyle w:val="REG-P1"/>
      </w:pPr>
      <w:r w:rsidRPr="00897F53">
        <w:t xml:space="preserve">(5) </w:t>
      </w:r>
      <w:r>
        <w:tab/>
      </w:r>
      <w:r w:rsidRPr="00897F53">
        <w:t>The Authority may require an importer of non-ionising radiation sources or an owner of a device or an installation to undertake measurement or an evaluation if any device or installation emitting non-ionising radiation in an area is added and is likely to significantly increase the non</w:t>
      </w:r>
      <w:r w:rsidR="00ED36CD">
        <w:t>-</w:t>
      </w:r>
      <w:r w:rsidRPr="00897F53">
        <w:t xml:space="preserve">ionising radiation exposure to members of the public or workers. </w:t>
      </w:r>
    </w:p>
    <w:p w14:paraId="61D924E2" w14:textId="77777777" w:rsidR="00897F53" w:rsidRDefault="00897F53" w:rsidP="00897F53">
      <w:pPr>
        <w:ind w:firstLine="567"/>
      </w:pPr>
    </w:p>
    <w:p w14:paraId="7175B1D0" w14:textId="6268D993" w:rsidR="00897F53" w:rsidRDefault="00897F53" w:rsidP="003E1851">
      <w:pPr>
        <w:pStyle w:val="REG-P1"/>
      </w:pPr>
      <w:r w:rsidRPr="00897F53">
        <w:t xml:space="preserve">(6) </w:t>
      </w:r>
      <w:r>
        <w:tab/>
      </w:r>
      <w:r w:rsidRPr="00897F53">
        <w:t xml:space="preserve">The measurement or evaluation methods applicable to these regulations are the </w:t>
      </w:r>
      <w:r w:rsidRPr="00DE0301">
        <w:rPr>
          <w:spacing w:val="-2"/>
        </w:rPr>
        <w:t>measurement or evaluation methods developed by international standards setting agencies such as the International Electrotechnical Commission (IEC), the European Committee for Electrotechnical</w:t>
      </w:r>
      <w:r w:rsidRPr="00897F53">
        <w:t xml:space="preserve"> Standardization (CENELEC), the Institute of Electrical, International Telecommunications Union (ITU) and the Institute of Electrical and Electronics Engineers (IEEE).</w:t>
      </w:r>
    </w:p>
    <w:p w14:paraId="5D718449" w14:textId="56C7B45B" w:rsidR="00897F53" w:rsidRDefault="00897F53" w:rsidP="00897F53">
      <w:pPr>
        <w:ind w:firstLine="567"/>
      </w:pPr>
    </w:p>
    <w:p w14:paraId="465EF9A0" w14:textId="77777777" w:rsidR="00077C3C" w:rsidRDefault="00077C3C" w:rsidP="00897F53">
      <w:pPr>
        <w:ind w:firstLine="567"/>
      </w:pPr>
    </w:p>
    <w:p w14:paraId="6C5118A6" w14:textId="688F5018" w:rsidR="00897F53" w:rsidRPr="00996684" w:rsidRDefault="00897F53" w:rsidP="00996684">
      <w:pPr>
        <w:pStyle w:val="REG-P0"/>
        <w:jc w:val="center"/>
        <w:rPr>
          <w:b/>
        </w:rPr>
      </w:pPr>
      <w:r w:rsidRPr="00996684">
        <w:rPr>
          <w:b/>
        </w:rPr>
        <w:t>ANNEXURE</w:t>
      </w:r>
    </w:p>
    <w:p w14:paraId="5D00924B" w14:textId="77777777" w:rsidR="00897F53" w:rsidRDefault="00897F53" w:rsidP="00897F53">
      <w:pPr>
        <w:ind w:firstLine="567"/>
        <w:jc w:val="center"/>
      </w:pPr>
    </w:p>
    <w:p w14:paraId="79F91E76" w14:textId="65F0C293" w:rsidR="00897F53" w:rsidRDefault="00897F53" w:rsidP="00996684">
      <w:pPr>
        <w:pStyle w:val="REG-P0"/>
      </w:pPr>
      <w:r>
        <w:t>Table 1: Basic</w:t>
      </w:r>
      <w:r w:rsidR="00996684">
        <w:t xml:space="preserve"> Restrictions - Public Exposure</w:t>
      </w:r>
    </w:p>
    <w:p w14:paraId="11A64B0D" w14:textId="0BF7BEDE" w:rsidR="00897F53" w:rsidRDefault="00897F53" w:rsidP="00996684">
      <w:pPr>
        <w:pStyle w:val="REG-P0"/>
      </w:pPr>
      <w:r>
        <w:t>Table 2: Ref</w:t>
      </w:r>
      <w:r w:rsidR="00996684">
        <w:t>erence Levels - Public Exposure</w:t>
      </w:r>
    </w:p>
    <w:p w14:paraId="351123A3" w14:textId="0A22F0A7" w:rsidR="00897F53" w:rsidRDefault="00897F53" w:rsidP="00996684">
      <w:pPr>
        <w:pStyle w:val="REG-P0"/>
      </w:pPr>
      <w:r>
        <w:t>Table 3: Basic Restr</w:t>
      </w:r>
      <w:r w:rsidR="00996684">
        <w:t>ictions - Occupational Exposure</w:t>
      </w:r>
    </w:p>
    <w:p w14:paraId="66ECC27A" w14:textId="6D90E8D9" w:rsidR="00897F53" w:rsidRDefault="00897F53" w:rsidP="00996684">
      <w:pPr>
        <w:pStyle w:val="REG-P0"/>
      </w:pPr>
      <w:r>
        <w:t>Table 4: Reference Levels - Occupational Exposure</w:t>
      </w:r>
    </w:p>
    <w:p w14:paraId="39BEED07" w14:textId="77777777" w:rsidR="00200F1B" w:rsidRDefault="00200F1B" w:rsidP="00996684">
      <w:pPr>
        <w:pStyle w:val="REG-P0"/>
        <w:jc w:val="center"/>
      </w:pPr>
    </w:p>
    <w:p w14:paraId="6B41B55B" w14:textId="602B1114" w:rsidR="00897F53" w:rsidRDefault="00897F53" w:rsidP="00996684">
      <w:pPr>
        <w:pStyle w:val="REG-P0"/>
        <w:jc w:val="center"/>
        <w:rPr>
          <w:b/>
        </w:rPr>
      </w:pPr>
      <w:r w:rsidRPr="00897F53">
        <w:rPr>
          <w:b/>
        </w:rPr>
        <w:t xml:space="preserve">Basic Restrictions and Reference Levels, Tables 1 </w:t>
      </w:r>
      <w:r w:rsidR="005A6CEE">
        <w:rPr>
          <w:b/>
        </w:rPr>
        <w:t>-</w:t>
      </w:r>
      <w:r w:rsidRPr="00897F53">
        <w:rPr>
          <w:b/>
        </w:rPr>
        <w:t xml:space="preserve"> 4</w:t>
      </w:r>
    </w:p>
    <w:p w14:paraId="7A06140C" w14:textId="77777777" w:rsidR="00897F53" w:rsidRDefault="00897F53" w:rsidP="00996684">
      <w:pPr>
        <w:pStyle w:val="REG-P0"/>
        <w:jc w:val="center"/>
        <w:rPr>
          <w:b/>
        </w:rPr>
      </w:pPr>
    </w:p>
    <w:p w14:paraId="153655E1" w14:textId="6089580D" w:rsidR="00897F53" w:rsidRPr="00996684" w:rsidRDefault="00897F53" w:rsidP="00996684">
      <w:pPr>
        <w:pStyle w:val="REG-P0"/>
        <w:jc w:val="center"/>
        <w:rPr>
          <w:b/>
        </w:rPr>
      </w:pPr>
      <w:r w:rsidRPr="00996684">
        <w:rPr>
          <w:b/>
        </w:rPr>
        <w:t>Table 1</w:t>
      </w:r>
    </w:p>
    <w:p w14:paraId="1003D739" w14:textId="4AB0258B" w:rsidR="00897F53" w:rsidRPr="00996684" w:rsidRDefault="00897F53" w:rsidP="00996684">
      <w:pPr>
        <w:pStyle w:val="REG-P0"/>
        <w:jc w:val="center"/>
        <w:rPr>
          <w:b/>
        </w:rPr>
      </w:pPr>
      <w:r w:rsidRPr="00996684">
        <w:rPr>
          <w:b/>
        </w:rPr>
        <w:t xml:space="preserve">Basic Restrictions </w:t>
      </w:r>
      <w:r w:rsidR="005A6CEE" w:rsidRPr="00996684">
        <w:rPr>
          <w:b/>
        </w:rPr>
        <w:t>-</w:t>
      </w:r>
      <w:r w:rsidRPr="00996684">
        <w:rPr>
          <w:b/>
        </w:rPr>
        <w:t xml:space="preserve"> Public Exposure</w:t>
      </w:r>
    </w:p>
    <w:p w14:paraId="03EF3338" w14:textId="34287F7C" w:rsidR="00897F53" w:rsidRDefault="00897F53" w:rsidP="00996684">
      <w:pPr>
        <w:pStyle w:val="REG-P0"/>
      </w:pPr>
      <w:r>
        <w:t>(Basic restrictions for time varying elect</w:t>
      </w:r>
      <w:r w:rsidR="00BA6807">
        <w:t>r</w:t>
      </w:r>
      <w:r>
        <w:t>ic and magnetic fields for frequencies up to 10GHz)</w:t>
      </w:r>
    </w:p>
    <w:p w14:paraId="10AF9569" w14:textId="77777777" w:rsidR="00BA6807" w:rsidRDefault="00BA6807" w:rsidP="00897F53">
      <w:pPr>
        <w:ind w:firstLine="567"/>
        <w:jc w:val="center"/>
      </w:pPr>
    </w:p>
    <w:tbl>
      <w:tblPr>
        <w:tblStyle w:val="TableGrid"/>
        <w:tblW w:w="5000" w:type="pct"/>
        <w:tblCellMar>
          <w:left w:w="57" w:type="dxa"/>
          <w:right w:w="57" w:type="dxa"/>
        </w:tblCellMar>
        <w:tblLook w:val="04A0" w:firstRow="1" w:lastRow="0" w:firstColumn="1" w:lastColumn="0" w:noHBand="0" w:noVBand="1"/>
      </w:tblPr>
      <w:tblGrid>
        <w:gridCol w:w="1312"/>
        <w:gridCol w:w="1660"/>
        <w:gridCol w:w="1417"/>
        <w:gridCol w:w="1199"/>
        <w:gridCol w:w="1450"/>
        <w:gridCol w:w="1450"/>
      </w:tblGrid>
      <w:tr w:rsidR="00FF64CD" w:rsidRPr="005111EF" w14:paraId="325620E4" w14:textId="77777777" w:rsidTr="004020F9">
        <w:trPr>
          <w:trHeight w:val="914"/>
        </w:trPr>
        <w:tc>
          <w:tcPr>
            <w:tcW w:w="772" w:type="pct"/>
            <w:vAlign w:val="center"/>
          </w:tcPr>
          <w:p w14:paraId="47F1099A" w14:textId="425555FA" w:rsidR="00BA6807" w:rsidRPr="005111EF" w:rsidRDefault="00BA6807" w:rsidP="00385F68">
            <w:pPr>
              <w:jc w:val="center"/>
              <w:rPr>
                <w:sz w:val="20"/>
                <w:szCs w:val="20"/>
              </w:rPr>
            </w:pPr>
            <w:r w:rsidRPr="005111EF">
              <w:rPr>
                <w:sz w:val="20"/>
                <w:szCs w:val="20"/>
              </w:rPr>
              <w:t>Exposure characteristics</w:t>
            </w:r>
          </w:p>
        </w:tc>
        <w:tc>
          <w:tcPr>
            <w:tcW w:w="978" w:type="pct"/>
            <w:vAlign w:val="center"/>
          </w:tcPr>
          <w:p w14:paraId="050A3B2F" w14:textId="7029AB58" w:rsidR="00BA6807" w:rsidRPr="005111EF" w:rsidRDefault="00BA6807" w:rsidP="00385F68">
            <w:pPr>
              <w:jc w:val="center"/>
              <w:rPr>
                <w:sz w:val="20"/>
                <w:szCs w:val="20"/>
              </w:rPr>
            </w:pPr>
            <w:r w:rsidRPr="005111EF">
              <w:rPr>
                <w:sz w:val="20"/>
                <w:szCs w:val="20"/>
              </w:rPr>
              <w:t xml:space="preserve">Frequency </w:t>
            </w:r>
            <w:r w:rsidR="00637E56">
              <w:rPr>
                <w:sz w:val="20"/>
                <w:szCs w:val="20"/>
              </w:rPr>
              <w:br/>
            </w:r>
            <w:r w:rsidRPr="005111EF">
              <w:rPr>
                <w:sz w:val="20"/>
                <w:szCs w:val="20"/>
              </w:rPr>
              <w:t>range</w:t>
            </w:r>
          </w:p>
        </w:tc>
        <w:tc>
          <w:tcPr>
            <w:tcW w:w="835" w:type="pct"/>
            <w:vAlign w:val="center"/>
          </w:tcPr>
          <w:p w14:paraId="748D2335" w14:textId="2585B3C2" w:rsidR="00BA6807" w:rsidRPr="005111EF" w:rsidRDefault="00BA6807" w:rsidP="00385F68">
            <w:pPr>
              <w:jc w:val="center"/>
              <w:rPr>
                <w:sz w:val="20"/>
                <w:szCs w:val="20"/>
              </w:rPr>
            </w:pPr>
            <w:r w:rsidRPr="005111EF">
              <w:rPr>
                <w:sz w:val="20"/>
                <w:szCs w:val="20"/>
              </w:rPr>
              <w:t xml:space="preserve">Current density for head and trunk </w:t>
            </w:r>
            <w:r w:rsidR="00B171DE">
              <w:rPr>
                <w:sz w:val="20"/>
                <w:szCs w:val="20"/>
              </w:rPr>
              <w:br/>
            </w:r>
            <w:r w:rsidRPr="005111EF">
              <w:rPr>
                <w:sz w:val="20"/>
                <w:szCs w:val="20"/>
              </w:rPr>
              <w:t>(mA m</w:t>
            </w:r>
            <w:r w:rsidRPr="005111EF">
              <w:rPr>
                <w:sz w:val="20"/>
                <w:szCs w:val="20"/>
                <w:vertAlign w:val="superscript"/>
              </w:rPr>
              <w:t>-2</w:t>
            </w:r>
            <w:r w:rsidRPr="005111EF">
              <w:rPr>
                <w:sz w:val="20"/>
                <w:szCs w:val="20"/>
              </w:rPr>
              <w:t>) (rms)</w:t>
            </w:r>
          </w:p>
        </w:tc>
        <w:tc>
          <w:tcPr>
            <w:tcW w:w="706" w:type="pct"/>
            <w:vAlign w:val="center"/>
          </w:tcPr>
          <w:p w14:paraId="658C9DBD" w14:textId="42FC2DFE" w:rsidR="00BA6807" w:rsidRPr="005111EF" w:rsidRDefault="00BA6807" w:rsidP="00385F68">
            <w:pPr>
              <w:jc w:val="center"/>
              <w:rPr>
                <w:sz w:val="20"/>
                <w:szCs w:val="20"/>
              </w:rPr>
            </w:pPr>
            <w:r w:rsidRPr="005111EF">
              <w:rPr>
                <w:sz w:val="20"/>
                <w:szCs w:val="20"/>
              </w:rPr>
              <w:t>Whole-body average SAR (W</w:t>
            </w:r>
            <w:r w:rsidR="00475694">
              <w:rPr>
                <w:sz w:val="20"/>
                <w:szCs w:val="20"/>
              </w:rPr>
              <w:t> </w:t>
            </w:r>
            <w:r w:rsidRPr="005111EF">
              <w:rPr>
                <w:sz w:val="20"/>
                <w:szCs w:val="20"/>
              </w:rPr>
              <w:t>kg</w:t>
            </w:r>
            <w:r w:rsidRPr="005111EF">
              <w:rPr>
                <w:sz w:val="20"/>
                <w:szCs w:val="20"/>
                <w:vertAlign w:val="superscript"/>
              </w:rPr>
              <w:t>-1</w:t>
            </w:r>
            <w:r w:rsidRPr="005111EF">
              <w:rPr>
                <w:sz w:val="20"/>
                <w:szCs w:val="20"/>
              </w:rPr>
              <w:t>)</w:t>
            </w:r>
          </w:p>
        </w:tc>
        <w:tc>
          <w:tcPr>
            <w:tcW w:w="854" w:type="pct"/>
            <w:vAlign w:val="center"/>
          </w:tcPr>
          <w:p w14:paraId="5E8C54AB" w14:textId="66679A89" w:rsidR="00BA6807" w:rsidRPr="005111EF" w:rsidRDefault="00BA6807" w:rsidP="00385F68">
            <w:pPr>
              <w:jc w:val="center"/>
              <w:rPr>
                <w:sz w:val="20"/>
                <w:szCs w:val="20"/>
              </w:rPr>
            </w:pPr>
            <w:r w:rsidRPr="005111EF">
              <w:rPr>
                <w:sz w:val="20"/>
                <w:szCs w:val="20"/>
              </w:rPr>
              <w:t>Localized SAR (head and trunk) (W kg</w:t>
            </w:r>
            <w:r w:rsidRPr="005111EF">
              <w:rPr>
                <w:sz w:val="20"/>
                <w:szCs w:val="20"/>
                <w:vertAlign w:val="superscript"/>
              </w:rPr>
              <w:t>-1</w:t>
            </w:r>
            <w:r w:rsidRPr="005111EF">
              <w:rPr>
                <w:sz w:val="20"/>
                <w:szCs w:val="20"/>
              </w:rPr>
              <w:t>)</w:t>
            </w:r>
          </w:p>
        </w:tc>
        <w:tc>
          <w:tcPr>
            <w:tcW w:w="854" w:type="pct"/>
            <w:vAlign w:val="center"/>
          </w:tcPr>
          <w:p w14:paraId="48990B5F" w14:textId="2649FCED" w:rsidR="00BA6807" w:rsidRPr="005111EF" w:rsidRDefault="00BA6807" w:rsidP="00385F68">
            <w:pPr>
              <w:jc w:val="center"/>
              <w:rPr>
                <w:sz w:val="20"/>
                <w:szCs w:val="20"/>
              </w:rPr>
            </w:pPr>
            <w:r w:rsidRPr="005111EF">
              <w:rPr>
                <w:sz w:val="20"/>
                <w:szCs w:val="20"/>
              </w:rPr>
              <w:t>Localized SAR (limbs) (W kg</w:t>
            </w:r>
            <w:r w:rsidRPr="005111EF">
              <w:rPr>
                <w:sz w:val="20"/>
                <w:szCs w:val="20"/>
                <w:vertAlign w:val="superscript"/>
              </w:rPr>
              <w:t>-1</w:t>
            </w:r>
            <w:r w:rsidRPr="005111EF">
              <w:rPr>
                <w:sz w:val="20"/>
                <w:szCs w:val="20"/>
              </w:rPr>
              <w:t>)</w:t>
            </w:r>
          </w:p>
        </w:tc>
      </w:tr>
      <w:tr w:rsidR="004020F9" w:rsidRPr="005111EF" w14:paraId="4A04B9F2" w14:textId="77777777" w:rsidTr="004020F9">
        <w:trPr>
          <w:trHeight w:val="228"/>
        </w:trPr>
        <w:tc>
          <w:tcPr>
            <w:tcW w:w="772" w:type="pct"/>
            <w:vMerge w:val="restart"/>
          </w:tcPr>
          <w:p w14:paraId="2D389B74" w14:textId="7FA87D3A" w:rsidR="00BA6807" w:rsidRPr="005111EF" w:rsidRDefault="00BA6807" w:rsidP="00CA7FB9">
            <w:pPr>
              <w:rPr>
                <w:sz w:val="20"/>
                <w:szCs w:val="20"/>
              </w:rPr>
            </w:pPr>
            <w:r w:rsidRPr="005111EF">
              <w:rPr>
                <w:sz w:val="20"/>
                <w:szCs w:val="20"/>
              </w:rPr>
              <w:t>General public exposure</w:t>
            </w:r>
          </w:p>
        </w:tc>
        <w:tc>
          <w:tcPr>
            <w:tcW w:w="978" w:type="pct"/>
          </w:tcPr>
          <w:p w14:paraId="6FB075B3" w14:textId="149ED1EC" w:rsidR="00BA6807" w:rsidRPr="005111EF" w:rsidRDefault="00BA6807" w:rsidP="00CA7FB9">
            <w:pPr>
              <w:rPr>
                <w:sz w:val="20"/>
                <w:szCs w:val="20"/>
              </w:rPr>
            </w:pPr>
            <w:r w:rsidRPr="005111EF">
              <w:rPr>
                <w:sz w:val="20"/>
                <w:szCs w:val="20"/>
              </w:rPr>
              <w:t>up to 1 Hz</w:t>
            </w:r>
          </w:p>
        </w:tc>
        <w:tc>
          <w:tcPr>
            <w:tcW w:w="835" w:type="pct"/>
          </w:tcPr>
          <w:p w14:paraId="5FA03595" w14:textId="30B91302" w:rsidR="00BA6807" w:rsidRPr="005111EF" w:rsidRDefault="00BA6807" w:rsidP="00CA7FB9">
            <w:pPr>
              <w:rPr>
                <w:sz w:val="20"/>
                <w:szCs w:val="20"/>
              </w:rPr>
            </w:pPr>
            <w:r w:rsidRPr="005111EF">
              <w:rPr>
                <w:sz w:val="20"/>
                <w:szCs w:val="20"/>
              </w:rPr>
              <w:t>8</w:t>
            </w:r>
          </w:p>
        </w:tc>
        <w:tc>
          <w:tcPr>
            <w:tcW w:w="706" w:type="pct"/>
          </w:tcPr>
          <w:p w14:paraId="20348201" w14:textId="2B0A12FB" w:rsidR="00BA6807" w:rsidRPr="005111EF" w:rsidRDefault="00CA7FB9" w:rsidP="00CA7FB9">
            <w:pPr>
              <w:rPr>
                <w:sz w:val="20"/>
                <w:szCs w:val="20"/>
              </w:rPr>
            </w:pPr>
            <w:r w:rsidRPr="005111EF">
              <w:rPr>
                <w:sz w:val="20"/>
                <w:szCs w:val="20"/>
              </w:rPr>
              <w:t>-</w:t>
            </w:r>
          </w:p>
        </w:tc>
        <w:tc>
          <w:tcPr>
            <w:tcW w:w="854" w:type="pct"/>
          </w:tcPr>
          <w:p w14:paraId="196C10EB" w14:textId="1C4E80E7" w:rsidR="00BA6807" w:rsidRPr="005111EF" w:rsidRDefault="00CA7FB9" w:rsidP="00CA7FB9">
            <w:pPr>
              <w:rPr>
                <w:sz w:val="20"/>
                <w:szCs w:val="20"/>
              </w:rPr>
            </w:pPr>
            <w:r w:rsidRPr="005111EF">
              <w:rPr>
                <w:sz w:val="20"/>
                <w:szCs w:val="20"/>
              </w:rPr>
              <w:t>-</w:t>
            </w:r>
          </w:p>
        </w:tc>
        <w:tc>
          <w:tcPr>
            <w:tcW w:w="854" w:type="pct"/>
          </w:tcPr>
          <w:p w14:paraId="61D1D5D2" w14:textId="1D6F1787" w:rsidR="00BA6807" w:rsidRPr="005111EF" w:rsidRDefault="00CA7FB9" w:rsidP="00CA7FB9">
            <w:pPr>
              <w:rPr>
                <w:sz w:val="20"/>
                <w:szCs w:val="20"/>
              </w:rPr>
            </w:pPr>
            <w:r w:rsidRPr="005111EF">
              <w:rPr>
                <w:sz w:val="20"/>
                <w:szCs w:val="20"/>
              </w:rPr>
              <w:t>-</w:t>
            </w:r>
          </w:p>
        </w:tc>
      </w:tr>
      <w:tr w:rsidR="004020F9" w:rsidRPr="005111EF" w14:paraId="67AC861D" w14:textId="77777777" w:rsidTr="004020F9">
        <w:trPr>
          <w:trHeight w:val="143"/>
        </w:trPr>
        <w:tc>
          <w:tcPr>
            <w:tcW w:w="772" w:type="pct"/>
            <w:vMerge/>
          </w:tcPr>
          <w:p w14:paraId="325E5EE5" w14:textId="77777777" w:rsidR="00BA6807" w:rsidRPr="005111EF" w:rsidRDefault="00BA6807" w:rsidP="00CA7FB9">
            <w:pPr>
              <w:rPr>
                <w:sz w:val="20"/>
                <w:szCs w:val="20"/>
              </w:rPr>
            </w:pPr>
          </w:p>
        </w:tc>
        <w:tc>
          <w:tcPr>
            <w:tcW w:w="978" w:type="pct"/>
          </w:tcPr>
          <w:p w14:paraId="696B32D5" w14:textId="0A7C4513" w:rsidR="00BA6807" w:rsidRPr="005111EF" w:rsidRDefault="00BA6807" w:rsidP="00CA7FB9">
            <w:pPr>
              <w:rPr>
                <w:sz w:val="20"/>
                <w:szCs w:val="20"/>
              </w:rPr>
            </w:pPr>
            <w:r w:rsidRPr="005111EF">
              <w:rPr>
                <w:sz w:val="20"/>
                <w:szCs w:val="20"/>
              </w:rPr>
              <w:t>1</w:t>
            </w:r>
            <w:r w:rsidR="0043510B">
              <w:rPr>
                <w:sz w:val="20"/>
                <w:szCs w:val="20"/>
              </w:rPr>
              <w:t>–</w:t>
            </w:r>
            <w:r w:rsidRPr="005111EF">
              <w:rPr>
                <w:sz w:val="20"/>
                <w:szCs w:val="20"/>
              </w:rPr>
              <w:t>4 Hz</w:t>
            </w:r>
          </w:p>
        </w:tc>
        <w:tc>
          <w:tcPr>
            <w:tcW w:w="835" w:type="pct"/>
          </w:tcPr>
          <w:p w14:paraId="508A05B2" w14:textId="7D51F17D" w:rsidR="00BA6807" w:rsidRPr="005111EF" w:rsidRDefault="00CA7FB9" w:rsidP="00CA7FB9">
            <w:pPr>
              <w:rPr>
                <w:sz w:val="20"/>
                <w:szCs w:val="20"/>
              </w:rPr>
            </w:pPr>
            <w:r w:rsidRPr="005111EF">
              <w:rPr>
                <w:sz w:val="20"/>
                <w:szCs w:val="20"/>
              </w:rPr>
              <w:t>8/</w:t>
            </w:r>
            <w:r w:rsidRPr="005111EF">
              <w:rPr>
                <w:i/>
                <w:sz w:val="20"/>
                <w:szCs w:val="20"/>
              </w:rPr>
              <w:t>f</w:t>
            </w:r>
          </w:p>
        </w:tc>
        <w:tc>
          <w:tcPr>
            <w:tcW w:w="706" w:type="pct"/>
          </w:tcPr>
          <w:p w14:paraId="5A096237" w14:textId="3C86FB2E" w:rsidR="00BA6807" w:rsidRPr="005111EF" w:rsidRDefault="00CA7FB9" w:rsidP="00CA7FB9">
            <w:pPr>
              <w:rPr>
                <w:sz w:val="20"/>
                <w:szCs w:val="20"/>
              </w:rPr>
            </w:pPr>
            <w:r w:rsidRPr="005111EF">
              <w:rPr>
                <w:sz w:val="20"/>
                <w:szCs w:val="20"/>
              </w:rPr>
              <w:t>-</w:t>
            </w:r>
          </w:p>
        </w:tc>
        <w:tc>
          <w:tcPr>
            <w:tcW w:w="854" w:type="pct"/>
          </w:tcPr>
          <w:p w14:paraId="3509CF0B" w14:textId="0AB3EFD1" w:rsidR="00BA6807" w:rsidRPr="005111EF" w:rsidRDefault="00CA7FB9" w:rsidP="00CA7FB9">
            <w:pPr>
              <w:rPr>
                <w:sz w:val="20"/>
                <w:szCs w:val="20"/>
              </w:rPr>
            </w:pPr>
            <w:r w:rsidRPr="005111EF">
              <w:rPr>
                <w:sz w:val="20"/>
                <w:szCs w:val="20"/>
              </w:rPr>
              <w:t>-</w:t>
            </w:r>
          </w:p>
        </w:tc>
        <w:tc>
          <w:tcPr>
            <w:tcW w:w="854" w:type="pct"/>
          </w:tcPr>
          <w:p w14:paraId="5458A486" w14:textId="49E649D1" w:rsidR="00BA6807" w:rsidRPr="005111EF" w:rsidRDefault="00CA7FB9" w:rsidP="00CA7FB9">
            <w:pPr>
              <w:rPr>
                <w:sz w:val="20"/>
                <w:szCs w:val="20"/>
              </w:rPr>
            </w:pPr>
            <w:r w:rsidRPr="005111EF">
              <w:rPr>
                <w:sz w:val="20"/>
                <w:szCs w:val="20"/>
              </w:rPr>
              <w:t>-</w:t>
            </w:r>
          </w:p>
        </w:tc>
      </w:tr>
      <w:tr w:rsidR="004020F9" w:rsidRPr="005111EF" w14:paraId="39CE59A0" w14:textId="77777777" w:rsidTr="004020F9">
        <w:trPr>
          <w:trHeight w:val="143"/>
        </w:trPr>
        <w:tc>
          <w:tcPr>
            <w:tcW w:w="772" w:type="pct"/>
            <w:vMerge/>
          </w:tcPr>
          <w:p w14:paraId="60A1F3C7" w14:textId="77777777" w:rsidR="00BA6807" w:rsidRPr="005111EF" w:rsidRDefault="00BA6807" w:rsidP="00CA7FB9">
            <w:pPr>
              <w:rPr>
                <w:sz w:val="20"/>
                <w:szCs w:val="20"/>
              </w:rPr>
            </w:pPr>
          </w:p>
        </w:tc>
        <w:tc>
          <w:tcPr>
            <w:tcW w:w="978" w:type="pct"/>
          </w:tcPr>
          <w:p w14:paraId="4012130D" w14:textId="58BA0571" w:rsidR="00BA6807" w:rsidRPr="005111EF" w:rsidRDefault="00BA6807" w:rsidP="00CA7FB9">
            <w:pPr>
              <w:rPr>
                <w:sz w:val="20"/>
                <w:szCs w:val="20"/>
              </w:rPr>
            </w:pPr>
            <w:r w:rsidRPr="005111EF">
              <w:rPr>
                <w:sz w:val="20"/>
                <w:szCs w:val="20"/>
              </w:rPr>
              <w:t>4</w:t>
            </w:r>
            <w:r w:rsidR="00996684">
              <w:rPr>
                <w:sz w:val="20"/>
                <w:szCs w:val="20"/>
              </w:rPr>
              <w:t xml:space="preserve"> </w:t>
            </w:r>
            <w:r w:rsidRPr="005111EF">
              <w:rPr>
                <w:sz w:val="20"/>
                <w:szCs w:val="20"/>
              </w:rPr>
              <w:t>Hz</w:t>
            </w:r>
            <w:r w:rsidR="00996684">
              <w:rPr>
                <w:sz w:val="20"/>
                <w:szCs w:val="20"/>
              </w:rPr>
              <w:t>–</w:t>
            </w:r>
            <w:r w:rsidRPr="005111EF">
              <w:rPr>
                <w:sz w:val="20"/>
                <w:szCs w:val="20"/>
              </w:rPr>
              <w:t>1</w:t>
            </w:r>
            <w:r w:rsidR="00996684">
              <w:rPr>
                <w:sz w:val="20"/>
                <w:szCs w:val="20"/>
              </w:rPr>
              <w:t xml:space="preserve"> </w:t>
            </w:r>
            <w:r w:rsidRPr="005111EF">
              <w:rPr>
                <w:sz w:val="20"/>
                <w:szCs w:val="20"/>
              </w:rPr>
              <w:t>kHz</w:t>
            </w:r>
          </w:p>
        </w:tc>
        <w:tc>
          <w:tcPr>
            <w:tcW w:w="835" w:type="pct"/>
          </w:tcPr>
          <w:p w14:paraId="1071B9EF" w14:textId="61F50FAF" w:rsidR="00BA6807" w:rsidRPr="005111EF" w:rsidRDefault="00CA7FB9" w:rsidP="00CA7FB9">
            <w:pPr>
              <w:rPr>
                <w:sz w:val="20"/>
                <w:szCs w:val="20"/>
              </w:rPr>
            </w:pPr>
            <w:r w:rsidRPr="005111EF">
              <w:rPr>
                <w:sz w:val="20"/>
                <w:szCs w:val="20"/>
              </w:rPr>
              <w:t>2</w:t>
            </w:r>
          </w:p>
        </w:tc>
        <w:tc>
          <w:tcPr>
            <w:tcW w:w="706" w:type="pct"/>
          </w:tcPr>
          <w:p w14:paraId="75F6C1FD" w14:textId="215EDEF1" w:rsidR="00BA6807" w:rsidRPr="005111EF" w:rsidRDefault="00CA7FB9" w:rsidP="00CA7FB9">
            <w:pPr>
              <w:rPr>
                <w:sz w:val="20"/>
                <w:szCs w:val="20"/>
              </w:rPr>
            </w:pPr>
            <w:r w:rsidRPr="005111EF">
              <w:rPr>
                <w:sz w:val="20"/>
                <w:szCs w:val="20"/>
              </w:rPr>
              <w:t>-</w:t>
            </w:r>
          </w:p>
        </w:tc>
        <w:tc>
          <w:tcPr>
            <w:tcW w:w="854" w:type="pct"/>
          </w:tcPr>
          <w:p w14:paraId="167D01A5" w14:textId="3403ECDC" w:rsidR="00BA6807" w:rsidRPr="005111EF" w:rsidRDefault="00CA7FB9" w:rsidP="00CA7FB9">
            <w:pPr>
              <w:rPr>
                <w:sz w:val="20"/>
                <w:szCs w:val="20"/>
              </w:rPr>
            </w:pPr>
            <w:r w:rsidRPr="005111EF">
              <w:rPr>
                <w:sz w:val="20"/>
                <w:szCs w:val="20"/>
              </w:rPr>
              <w:t>-</w:t>
            </w:r>
          </w:p>
        </w:tc>
        <w:tc>
          <w:tcPr>
            <w:tcW w:w="854" w:type="pct"/>
          </w:tcPr>
          <w:p w14:paraId="54B4DEA6" w14:textId="22AAC479" w:rsidR="00BA6807" w:rsidRPr="005111EF" w:rsidRDefault="00CA7FB9" w:rsidP="00CA7FB9">
            <w:pPr>
              <w:rPr>
                <w:sz w:val="20"/>
                <w:szCs w:val="20"/>
              </w:rPr>
            </w:pPr>
            <w:r w:rsidRPr="005111EF">
              <w:rPr>
                <w:sz w:val="20"/>
                <w:szCs w:val="20"/>
              </w:rPr>
              <w:t>-</w:t>
            </w:r>
          </w:p>
        </w:tc>
      </w:tr>
      <w:tr w:rsidR="004020F9" w:rsidRPr="005111EF" w14:paraId="44B5B722" w14:textId="77777777" w:rsidTr="004020F9">
        <w:trPr>
          <w:trHeight w:val="143"/>
        </w:trPr>
        <w:tc>
          <w:tcPr>
            <w:tcW w:w="772" w:type="pct"/>
            <w:vMerge/>
          </w:tcPr>
          <w:p w14:paraId="3C51285D" w14:textId="77777777" w:rsidR="00BA6807" w:rsidRPr="005111EF" w:rsidRDefault="00BA6807" w:rsidP="00CA7FB9">
            <w:pPr>
              <w:rPr>
                <w:sz w:val="20"/>
                <w:szCs w:val="20"/>
              </w:rPr>
            </w:pPr>
          </w:p>
        </w:tc>
        <w:tc>
          <w:tcPr>
            <w:tcW w:w="978" w:type="pct"/>
          </w:tcPr>
          <w:p w14:paraId="10865E71" w14:textId="3237D8FE" w:rsidR="00BA6807" w:rsidRPr="005111EF" w:rsidRDefault="00BA6807" w:rsidP="00CA7FB9">
            <w:pPr>
              <w:rPr>
                <w:sz w:val="20"/>
                <w:szCs w:val="20"/>
              </w:rPr>
            </w:pPr>
            <w:r w:rsidRPr="005111EF">
              <w:rPr>
                <w:sz w:val="20"/>
                <w:szCs w:val="20"/>
              </w:rPr>
              <w:t>1</w:t>
            </w:r>
            <w:r w:rsidR="0043510B">
              <w:rPr>
                <w:sz w:val="20"/>
                <w:szCs w:val="20"/>
              </w:rPr>
              <w:t>–</w:t>
            </w:r>
            <w:r w:rsidRPr="005111EF">
              <w:rPr>
                <w:sz w:val="20"/>
                <w:szCs w:val="20"/>
              </w:rPr>
              <w:t>100 kHz</w:t>
            </w:r>
          </w:p>
        </w:tc>
        <w:tc>
          <w:tcPr>
            <w:tcW w:w="835" w:type="pct"/>
          </w:tcPr>
          <w:p w14:paraId="0DE1C2AF" w14:textId="5FA1F5EB" w:rsidR="00BA6807" w:rsidRPr="005111EF" w:rsidRDefault="00CA7FB9" w:rsidP="00CA7FB9">
            <w:pPr>
              <w:rPr>
                <w:sz w:val="20"/>
                <w:szCs w:val="20"/>
              </w:rPr>
            </w:pPr>
            <w:r w:rsidRPr="005111EF">
              <w:rPr>
                <w:i/>
                <w:sz w:val="20"/>
                <w:szCs w:val="20"/>
              </w:rPr>
              <w:t>f</w:t>
            </w:r>
            <w:r w:rsidRPr="005111EF">
              <w:rPr>
                <w:sz w:val="20"/>
                <w:szCs w:val="20"/>
              </w:rPr>
              <w:t>/500</w:t>
            </w:r>
          </w:p>
        </w:tc>
        <w:tc>
          <w:tcPr>
            <w:tcW w:w="706" w:type="pct"/>
          </w:tcPr>
          <w:p w14:paraId="28F67ECE" w14:textId="4F9B851D" w:rsidR="00BA6807" w:rsidRPr="005111EF" w:rsidRDefault="00CA7FB9" w:rsidP="00CA7FB9">
            <w:pPr>
              <w:rPr>
                <w:sz w:val="20"/>
                <w:szCs w:val="20"/>
              </w:rPr>
            </w:pPr>
            <w:r w:rsidRPr="005111EF">
              <w:rPr>
                <w:sz w:val="20"/>
                <w:szCs w:val="20"/>
              </w:rPr>
              <w:t>-</w:t>
            </w:r>
          </w:p>
        </w:tc>
        <w:tc>
          <w:tcPr>
            <w:tcW w:w="854" w:type="pct"/>
          </w:tcPr>
          <w:p w14:paraId="136B6667" w14:textId="15A275C9" w:rsidR="00BA6807" w:rsidRPr="005111EF" w:rsidRDefault="00CA7FB9" w:rsidP="00CA7FB9">
            <w:pPr>
              <w:rPr>
                <w:sz w:val="20"/>
                <w:szCs w:val="20"/>
              </w:rPr>
            </w:pPr>
            <w:r w:rsidRPr="005111EF">
              <w:rPr>
                <w:sz w:val="20"/>
                <w:szCs w:val="20"/>
              </w:rPr>
              <w:t>-</w:t>
            </w:r>
          </w:p>
        </w:tc>
        <w:tc>
          <w:tcPr>
            <w:tcW w:w="854" w:type="pct"/>
          </w:tcPr>
          <w:p w14:paraId="1A442E6C" w14:textId="0C401EDE" w:rsidR="00BA6807" w:rsidRPr="005111EF" w:rsidRDefault="00CA7FB9" w:rsidP="00CA7FB9">
            <w:pPr>
              <w:rPr>
                <w:sz w:val="20"/>
                <w:szCs w:val="20"/>
              </w:rPr>
            </w:pPr>
            <w:r w:rsidRPr="005111EF">
              <w:rPr>
                <w:sz w:val="20"/>
                <w:szCs w:val="20"/>
              </w:rPr>
              <w:t>-</w:t>
            </w:r>
          </w:p>
        </w:tc>
      </w:tr>
      <w:tr w:rsidR="004020F9" w:rsidRPr="005111EF" w14:paraId="12D21D1E" w14:textId="77777777" w:rsidTr="004020F9">
        <w:trPr>
          <w:trHeight w:val="143"/>
        </w:trPr>
        <w:tc>
          <w:tcPr>
            <w:tcW w:w="772" w:type="pct"/>
            <w:vMerge/>
          </w:tcPr>
          <w:p w14:paraId="0A3F5B49" w14:textId="77777777" w:rsidR="00BA6807" w:rsidRPr="005111EF" w:rsidRDefault="00BA6807" w:rsidP="00CA7FB9">
            <w:pPr>
              <w:rPr>
                <w:sz w:val="20"/>
                <w:szCs w:val="20"/>
              </w:rPr>
            </w:pPr>
          </w:p>
        </w:tc>
        <w:tc>
          <w:tcPr>
            <w:tcW w:w="978" w:type="pct"/>
          </w:tcPr>
          <w:p w14:paraId="3B9DC162" w14:textId="1780C668" w:rsidR="00BA6807" w:rsidRPr="005111EF" w:rsidRDefault="00BA6807" w:rsidP="00996684">
            <w:pPr>
              <w:rPr>
                <w:sz w:val="20"/>
                <w:szCs w:val="20"/>
              </w:rPr>
            </w:pPr>
            <w:r w:rsidRPr="005111EF">
              <w:rPr>
                <w:sz w:val="20"/>
                <w:szCs w:val="20"/>
              </w:rPr>
              <w:t>100 kHz</w:t>
            </w:r>
            <w:r w:rsidR="00996684">
              <w:rPr>
                <w:sz w:val="20"/>
                <w:szCs w:val="20"/>
              </w:rPr>
              <w:t>–</w:t>
            </w:r>
            <w:r w:rsidRPr="005111EF">
              <w:rPr>
                <w:sz w:val="20"/>
                <w:szCs w:val="20"/>
              </w:rPr>
              <w:t>10</w:t>
            </w:r>
            <w:r w:rsidR="00996684">
              <w:rPr>
                <w:sz w:val="20"/>
                <w:szCs w:val="20"/>
              </w:rPr>
              <w:t xml:space="preserve"> </w:t>
            </w:r>
            <w:r w:rsidRPr="005111EF">
              <w:rPr>
                <w:sz w:val="20"/>
                <w:szCs w:val="20"/>
              </w:rPr>
              <w:t>MHz</w:t>
            </w:r>
          </w:p>
        </w:tc>
        <w:tc>
          <w:tcPr>
            <w:tcW w:w="835" w:type="pct"/>
          </w:tcPr>
          <w:p w14:paraId="2E10997B" w14:textId="11F30998" w:rsidR="00BA6807" w:rsidRPr="005111EF" w:rsidRDefault="00CA7FB9" w:rsidP="00CA7FB9">
            <w:pPr>
              <w:rPr>
                <w:sz w:val="20"/>
                <w:szCs w:val="20"/>
              </w:rPr>
            </w:pPr>
            <w:r w:rsidRPr="005111EF">
              <w:rPr>
                <w:i/>
                <w:sz w:val="20"/>
                <w:szCs w:val="20"/>
              </w:rPr>
              <w:t>f</w:t>
            </w:r>
            <w:r w:rsidRPr="005111EF">
              <w:rPr>
                <w:sz w:val="20"/>
                <w:szCs w:val="20"/>
              </w:rPr>
              <w:t>/500</w:t>
            </w:r>
          </w:p>
        </w:tc>
        <w:tc>
          <w:tcPr>
            <w:tcW w:w="706" w:type="pct"/>
          </w:tcPr>
          <w:p w14:paraId="4DDCC518" w14:textId="6B39FF75" w:rsidR="00BA6807" w:rsidRPr="005111EF" w:rsidRDefault="00CA7FB9" w:rsidP="00CA7FB9">
            <w:pPr>
              <w:rPr>
                <w:sz w:val="20"/>
                <w:szCs w:val="20"/>
              </w:rPr>
            </w:pPr>
            <w:r w:rsidRPr="005111EF">
              <w:rPr>
                <w:sz w:val="20"/>
                <w:szCs w:val="20"/>
              </w:rPr>
              <w:t>0.08</w:t>
            </w:r>
          </w:p>
        </w:tc>
        <w:tc>
          <w:tcPr>
            <w:tcW w:w="854" w:type="pct"/>
          </w:tcPr>
          <w:p w14:paraId="29821983" w14:textId="148D6CE6" w:rsidR="00BA6807" w:rsidRPr="005111EF" w:rsidRDefault="00CA7FB9" w:rsidP="00CA7FB9">
            <w:pPr>
              <w:rPr>
                <w:sz w:val="20"/>
                <w:szCs w:val="20"/>
              </w:rPr>
            </w:pPr>
            <w:r w:rsidRPr="005111EF">
              <w:rPr>
                <w:sz w:val="20"/>
                <w:szCs w:val="20"/>
              </w:rPr>
              <w:t>2</w:t>
            </w:r>
          </w:p>
        </w:tc>
        <w:tc>
          <w:tcPr>
            <w:tcW w:w="854" w:type="pct"/>
          </w:tcPr>
          <w:p w14:paraId="7F1990BA" w14:textId="12ECD403" w:rsidR="00BA6807" w:rsidRPr="005111EF" w:rsidRDefault="00CA7FB9" w:rsidP="00CA7FB9">
            <w:pPr>
              <w:rPr>
                <w:sz w:val="20"/>
                <w:szCs w:val="20"/>
              </w:rPr>
            </w:pPr>
            <w:r w:rsidRPr="005111EF">
              <w:rPr>
                <w:sz w:val="20"/>
                <w:szCs w:val="20"/>
              </w:rPr>
              <w:t>4</w:t>
            </w:r>
          </w:p>
        </w:tc>
      </w:tr>
      <w:tr w:rsidR="004020F9" w:rsidRPr="005111EF" w14:paraId="58AD00CB" w14:textId="77777777" w:rsidTr="004020F9">
        <w:trPr>
          <w:trHeight w:val="143"/>
        </w:trPr>
        <w:tc>
          <w:tcPr>
            <w:tcW w:w="772" w:type="pct"/>
            <w:vMerge/>
          </w:tcPr>
          <w:p w14:paraId="21B3D0CE" w14:textId="77777777" w:rsidR="00BA6807" w:rsidRPr="005111EF" w:rsidRDefault="00BA6807" w:rsidP="00CA7FB9">
            <w:pPr>
              <w:rPr>
                <w:sz w:val="20"/>
                <w:szCs w:val="20"/>
              </w:rPr>
            </w:pPr>
          </w:p>
        </w:tc>
        <w:tc>
          <w:tcPr>
            <w:tcW w:w="978" w:type="pct"/>
          </w:tcPr>
          <w:p w14:paraId="0A5E3E90" w14:textId="163A5D84" w:rsidR="00BA6807" w:rsidRPr="005111EF" w:rsidRDefault="00BA6807" w:rsidP="00CA7FB9">
            <w:pPr>
              <w:rPr>
                <w:sz w:val="20"/>
                <w:szCs w:val="20"/>
              </w:rPr>
            </w:pPr>
            <w:r w:rsidRPr="005111EF">
              <w:rPr>
                <w:sz w:val="20"/>
                <w:szCs w:val="20"/>
              </w:rPr>
              <w:t>10 MHz</w:t>
            </w:r>
            <w:r w:rsidR="00624BEB">
              <w:rPr>
                <w:sz w:val="20"/>
                <w:szCs w:val="20"/>
              </w:rPr>
              <w:t>–</w:t>
            </w:r>
            <w:r w:rsidRPr="005111EF">
              <w:rPr>
                <w:sz w:val="20"/>
                <w:szCs w:val="20"/>
              </w:rPr>
              <w:t>10 GHz</w:t>
            </w:r>
          </w:p>
        </w:tc>
        <w:tc>
          <w:tcPr>
            <w:tcW w:w="835" w:type="pct"/>
          </w:tcPr>
          <w:p w14:paraId="5C92D7FA" w14:textId="33C3BD13" w:rsidR="00BA6807" w:rsidRPr="005111EF" w:rsidRDefault="00CA7FB9" w:rsidP="00CA7FB9">
            <w:pPr>
              <w:rPr>
                <w:sz w:val="20"/>
                <w:szCs w:val="20"/>
              </w:rPr>
            </w:pPr>
            <w:r w:rsidRPr="005111EF">
              <w:rPr>
                <w:sz w:val="20"/>
                <w:szCs w:val="20"/>
              </w:rPr>
              <w:t>-</w:t>
            </w:r>
          </w:p>
        </w:tc>
        <w:tc>
          <w:tcPr>
            <w:tcW w:w="706" w:type="pct"/>
          </w:tcPr>
          <w:p w14:paraId="08747E78" w14:textId="773945DC" w:rsidR="00BA6807" w:rsidRPr="005111EF" w:rsidRDefault="00CA7FB9" w:rsidP="00CA7FB9">
            <w:pPr>
              <w:rPr>
                <w:sz w:val="20"/>
                <w:szCs w:val="20"/>
              </w:rPr>
            </w:pPr>
            <w:r w:rsidRPr="005111EF">
              <w:rPr>
                <w:sz w:val="20"/>
                <w:szCs w:val="20"/>
              </w:rPr>
              <w:t>0.08</w:t>
            </w:r>
          </w:p>
        </w:tc>
        <w:tc>
          <w:tcPr>
            <w:tcW w:w="854" w:type="pct"/>
          </w:tcPr>
          <w:p w14:paraId="7824839A" w14:textId="109774F8" w:rsidR="00BA6807" w:rsidRPr="005111EF" w:rsidRDefault="00CA7FB9" w:rsidP="00CA7FB9">
            <w:pPr>
              <w:rPr>
                <w:sz w:val="20"/>
                <w:szCs w:val="20"/>
              </w:rPr>
            </w:pPr>
            <w:r w:rsidRPr="005111EF">
              <w:rPr>
                <w:sz w:val="20"/>
                <w:szCs w:val="20"/>
              </w:rPr>
              <w:t>2</w:t>
            </w:r>
          </w:p>
        </w:tc>
        <w:tc>
          <w:tcPr>
            <w:tcW w:w="854" w:type="pct"/>
          </w:tcPr>
          <w:p w14:paraId="2BD9AC20" w14:textId="228E34C2" w:rsidR="00BA6807" w:rsidRPr="005111EF" w:rsidRDefault="00CA7FB9" w:rsidP="00CA7FB9">
            <w:pPr>
              <w:rPr>
                <w:sz w:val="20"/>
                <w:szCs w:val="20"/>
              </w:rPr>
            </w:pPr>
            <w:r w:rsidRPr="005111EF">
              <w:rPr>
                <w:sz w:val="20"/>
                <w:szCs w:val="20"/>
              </w:rPr>
              <w:t>4</w:t>
            </w:r>
          </w:p>
        </w:tc>
      </w:tr>
    </w:tbl>
    <w:p w14:paraId="7D420295" w14:textId="77777777" w:rsidR="00CA7FB9" w:rsidRDefault="00CA7FB9" w:rsidP="00CA7FB9"/>
    <w:p w14:paraId="3C8BE233" w14:textId="50EF9F95" w:rsidR="00897F53" w:rsidRDefault="00CA7FB9" w:rsidP="00996684">
      <w:pPr>
        <w:pStyle w:val="REG-P0"/>
      </w:pPr>
      <w:r w:rsidRPr="00CA7FB9">
        <w:t>Basic restrictions for power density for frequencies between 10 and 300 GHz.</w:t>
      </w:r>
    </w:p>
    <w:p w14:paraId="686A1286" w14:textId="77777777" w:rsidR="00CA7FB9" w:rsidRDefault="00CA7FB9" w:rsidP="00CA7FB9"/>
    <w:tbl>
      <w:tblPr>
        <w:tblStyle w:val="TableGrid"/>
        <w:tblW w:w="5000" w:type="pct"/>
        <w:tblLook w:val="04A0" w:firstRow="1" w:lastRow="0" w:firstColumn="1" w:lastColumn="0" w:noHBand="0" w:noVBand="1"/>
      </w:tblPr>
      <w:tblGrid>
        <w:gridCol w:w="4244"/>
        <w:gridCol w:w="4244"/>
      </w:tblGrid>
      <w:tr w:rsidR="00CA7FB9" w:rsidRPr="00CA7FB9" w14:paraId="7F8373A9" w14:textId="77777777" w:rsidTr="00F85B9B">
        <w:tc>
          <w:tcPr>
            <w:tcW w:w="2500" w:type="pct"/>
          </w:tcPr>
          <w:p w14:paraId="060D826E" w14:textId="3188EEA7" w:rsidR="00CA7FB9" w:rsidRPr="00CA7FB9" w:rsidRDefault="00CA7FB9" w:rsidP="00CA7FB9">
            <w:pPr>
              <w:rPr>
                <w:sz w:val="20"/>
                <w:szCs w:val="20"/>
              </w:rPr>
            </w:pPr>
            <w:r w:rsidRPr="00CA7FB9">
              <w:rPr>
                <w:sz w:val="20"/>
                <w:szCs w:val="20"/>
              </w:rPr>
              <w:t>Exposure characteristics</w:t>
            </w:r>
          </w:p>
        </w:tc>
        <w:tc>
          <w:tcPr>
            <w:tcW w:w="2500" w:type="pct"/>
          </w:tcPr>
          <w:p w14:paraId="4F515DAC" w14:textId="426EF28F" w:rsidR="00CA7FB9" w:rsidRPr="00CA7FB9" w:rsidRDefault="00CA7FB9" w:rsidP="00CA7FB9">
            <w:pPr>
              <w:rPr>
                <w:sz w:val="20"/>
                <w:szCs w:val="20"/>
              </w:rPr>
            </w:pPr>
            <w:r>
              <w:rPr>
                <w:sz w:val="20"/>
                <w:szCs w:val="20"/>
              </w:rPr>
              <w:t>Power density (W m</w:t>
            </w:r>
            <w:r>
              <w:rPr>
                <w:sz w:val="20"/>
                <w:szCs w:val="20"/>
                <w:vertAlign w:val="superscript"/>
              </w:rPr>
              <w:t>-2</w:t>
            </w:r>
            <w:r>
              <w:rPr>
                <w:sz w:val="20"/>
                <w:szCs w:val="20"/>
              </w:rPr>
              <w:t>)</w:t>
            </w:r>
          </w:p>
        </w:tc>
      </w:tr>
      <w:tr w:rsidR="00CA7FB9" w:rsidRPr="00CA7FB9" w14:paraId="78935E46" w14:textId="77777777" w:rsidTr="00F85B9B">
        <w:tc>
          <w:tcPr>
            <w:tcW w:w="2500" w:type="pct"/>
          </w:tcPr>
          <w:p w14:paraId="70F914F9" w14:textId="6D3840ED" w:rsidR="00CA7FB9" w:rsidRPr="00CA7FB9" w:rsidRDefault="00CA7FB9" w:rsidP="00CA7FB9">
            <w:pPr>
              <w:rPr>
                <w:sz w:val="20"/>
                <w:szCs w:val="20"/>
              </w:rPr>
            </w:pPr>
            <w:r>
              <w:rPr>
                <w:sz w:val="20"/>
                <w:szCs w:val="20"/>
              </w:rPr>
              <w:t>General public</w:t>
            </w:r>
          </w:p>
        </w:tc>
        <w:tc>
          <w:tcPr>
            <w:tcW w:w="2500" w:type="pct"/>
          </w:tcPr>
          <w:p w14:paraId="1EA69AF5" w14:textId="221FB025" w:rsidR="00CA7FB9" w:rsidRPr="00CA7FB9" w:rsidRDefault="00CA7FB9" w:rsidP="00CA7FB9">
            <w:pPr>
              <w:rPr>
                <w:sz w:val="20"/>
                <w:szCs w:val="20"/>
              </w:rPr>
            </w:pPr>
            <w:r>
              <w:rPr>
                <w:sz w:val="20"/>
                <w:szCs w:val="20"/>
              </w:rPr>
              <w:t>10</w:t>
            </w:r>
          </w:p>
        </w:tc>
      </w:tr>
    </w:tbl>
    <w:p w14:paraId="48559D62" w14:textId="77777777" w:rsidR="00CA7FB9" w:rsidRDefault="00CA7FB9" w:rsidP="00CA7FB9"/>
    <w:p w14:paraId="5342F7B4" w14:textId="77777777" w:rsidR="00CA7FB9" w:rsidRDefault="00CA7FB9" w:rsidP="00A4628B">
      <w:pPr>
        <w:pStyle w:val="REG-P0"/>
      </w:pPr>
      <w:r w:rsidRPr="00CA7FB9">
        <w:t xml:space="preserve">Note (a): </w:t>
      </w:r>
    </w:p>
    <w:p w14:paraId="0EAFA9FA" w14:textId="77777777" w:rsidR="00CA7FB9" w:rsidRDefault="00CA7FB9" w:rsidP="00A4628B">
      <w:pPr>
        <w:pStyle w:val="REG-P0"/>
      </w:pPr>
      <w:r w:rsidRPr="00CA7FB9">
        <w:t xml:space="preserve">1. </w:t>
      </w:r>
      <w:r>
        <w:tab/>
      </w:r>
      <w:r w:rsidRPr="00CA7FB9">
        <w:rPr>
          <w:i/>
        </w:rPr>
        <w:t>f</w:t>
      </w:r>
      <w:r w:rsidRPr="00CA7FB9">
        <w:t xml:space="preserve"> is the frequency in hertz. </w:t>
      </w:r>
    </w:p>
    <w:p w14:paraId="769F714D" w14:textId="77777777" w:rsidR="00CA7FB9" w:rsidRDefault="00CA7FB9" w:rsidP="00A4628B">
      <w:pPr>
        <w:pStyle w:val="REG-P0"/>
        <w:ind w:left="567" w:hanging="567"/>
      </w:pPr>
      <w:r w:rsidRPr="00CA7FB9">
        <w:t xml:space="preserve">2. </w:t>
      </w:r>
      <w:r>
        <w:tab/>
      </w:r>
      <w:r w:rsidRPr="00CA7FB9">
        <w:t xml:space="preserve">Because of electrical inhomogeneity of the body, current densities should be averaged over a cross-section of 1 cm2 perpendicular to the current direction. </w:t>
      </w:r>
    </w:p>
    <w:p w14:paraId="503AFB45" w14:textId="1B4831BD" w:rsidR="005111EF" w:rsidRPr="005111EF" w:rsidRDefault="005111EF" w:rsidP="005111EF">
      <w:pPr>
        <w:pStyle w:val="REG-Amend"/>
      </w:pPr>
      <w:r>
        <w:t>[</w:t>
      </w:r>
      <w:r w:rsidR="00F457AB">
        <w:t>The term “</w:t>
      </w:r>
      <w:r>
        <w:t>cm2</w:t>
      </w:r>
      <w:r w:rsidR="00F457AB">
        <w:t>”</w:t>
      </w:r>
      <w:r>
        <w:t xml:space="preserve"> should probably be </w:t>
      </w:r>
      <w:r w:rsidR="00F457AB">
        <w:t>“</w:t>
      </w:r>
      <w:r>
        <w:t>cm</w:t>
      </w:r>
      <w:r>
        <w:rPr>
          <w:vertAlign w:val="superscript"/>
        </w:rPr>
        <w:t>2</w:t>
      </w:r>
      <w:r w:rsidR="00F457AB" w:rsidRPr="00F457AB">
        <w:t>”.</w:t>
      </w:r>
      <w:r w:rsidRPr="00F457AB">
        <w:t>]</w:t>
      </w:r>
    </w:p>
    <w:p w14:paraId="42DB27E9" w14:textId="77777777" w:rsidR="00CA7FB9" w:rsidRDefault="00CA7FB9" w:rsidP="00A4628B">
      <w:pPr>
        <w:pStyle w:val="REG-P0"/>
        <w:ind w:left="567" w:hanging="567"/>
      </w:pPr>
      <w:r w:rsidRPr="00CA7FB9">
        <w:t xml:space="preserve">3. </w:t>
      </w:r>
      <w:r>
        <w:tab/>
      </w:r>
      <w:r w:rsidRPr="00CA7FB9">
        <w:t xml:space="preserve">For frequencies up to 100 kHz, peak current density values can be obtained by multiplying the rms value by u2 (;1.414). For pulses of duration </w:t>
      </w:r>
      <w:r w:rsidRPr="00CA7FB9">
        <w:rPr>
          <w:i/>
        </w:rPr>
        <w:t>tp</w:t>
      </w:r>
      <w:r w:rsidRPr="00CA7FB9">
        <w:t xml:space="preserve"> the equivalent frequency to apply in the basic restrictions should be calculated as </w:t>
      </w:r>
      <w:r w:rsidRPr="00CA7FB9">
        <w:rPr>
          <w:i/>
        </w:rPr>
        <w:t xml:space="preserve">f </w:t>
      </w:r>
      <w:r w:rsidRPr="00CA7FB9">
        <w:t>5 1/(2</w:t>
      </w:r>
      <w:r w:rsidRPr="00CA7FB9">
        <w:rPr>
          <w:i/>
        </w:rPr>
        <w:t>tp</w:t>
      </w:r>
      <w:r w:rsidRPr="00CA7FB9">
        <w:t xml:space="preserve">). </w:t>
      </w:r>
    </w:p>
    <w:p w14:paraId="1735230B" w14:textId="045A4D27" w:rsidR="005111EF" w:rsidRDefault="005111EF" w:rsidP="005111EF">
      <w:pPr>
        <w:pStyle w:val="REG-Amend"/>
      </w:pPr>
      <w:r>
        <w:t>[</w:t>
      </w:r>
      <w:r w:rsidR="00A4628B">
        <w:t>The letter “</w:t>
      </w:r>
      <w:r>
        <w:t>u</w:t>
      </w:r>
      <w:r w:rsidR="00A4628B">
        <w:t>”</w:t>
      </w:r>
      <w:r>
        <w:t xml:space="preserve"> </w:t>
      </w:r>
      <w:r w:rsidR="00A4628B">
        <w:t>may have been intended to be the symbol “</w:t>
      </w:r>
      <w:r>
        <w:t>μ</w:t>
      </w:r>
      <w:r w:rsidR="00A4628B">
        <w:t xml:space="preserve">”, </w:t>
      </w:r>
      <w:r w:rsidR="00F457AB">
        <w:br/>
      </w:r>
      <w:r w:rsidR="00A4628B">
        <w:t xml:space="preserve">which </w:t>
      </w:r>
      <w:r w:rsidR="00F457AB">
        <w:t xml:space="preserve">stands for “micro”and </w:t>
      </w:r>
      <w:r w:rsidR="00A4628B">
        <w:t>denotes</w:t>
      </w:r>
      <w:r w:rsidR="00200F1B">
        <w:t xml:space="preserve"> </w:t>
      </w:r>
      <w:r w:rsidR="00A4628B" w:rsidRPr="00A4628B">
        <w:t>1/1</w:t>
      </w:r>
      <w:r w:rsidR="00A4628B">
        <w:t xml:space="preserve"> </w:t>
      </w:r>
      <w:r w:rsidR="00A4628B" w:rsidRPr="00A4628B">
        <w:t>000</w:t>
      </w:r>
      <w:r w:rsidR="00A4628B">
        <w:t xml:space="preserve"> </w:t>
      </w:r>
      <w:r w:rsidR="00A4628B" w:rsidRPr="00A4628B">
        <w:t>000</w:t>
      </w:r>
      <w:r w:rsidR="00393C85">
        <w:t>.]</w:t>
      </w:r>
    </w:p>
    <w:p w14:paraId="16E872B4" w14:textId="77777777" w:rsidR="00CA7FB9" w:rsidRDefault="00CA7FB9" w:rsidP="00F457AB">
      <w:pPr>
        <w:pStyle w:val="REG-P0"/>
        <w:ind w:left="567" w:hanging="567"/>
      </w:pPr>
      <w:r w:rsidRPr="00CA7FB9">
        <w:t xml:space="preserve">4. </w:t>
      </w:r>
      <w:r>
        <w:tab/>
      </w:r>
      <w:r w:rsidRPr="00CA7FB9">
        <w:t xml:space="preserve">For frequencies up to 100 kHz and for pulsed magnetic fields, the maximum current density associated with the pulses can be calculated from the rise/fall times and the maximum rate of change of magnetic flux density. The induced current density can then be compared with the appropriate basic restriction. </w:t>
      </w:r>
    </w:p>
    <w:p w14:paraId="498C135F" w14:textId="77777777" w:rsidR="00CA7FB9" w:rsidRDefault="00CA7FB9" w:rsidP="00F457AB">
      <w:pPr>
        <w:pStyle w:val="REG-P0"/>
        <w:ind w:left="567" w:hanging="567"/>
      </w:pPr>
      <w:r w:rsidRPr="00CA7FB9">
        <w:t xml:space="preserve">5. </w:t>
      </w:r>
      <w:r>
        <w:tab/>
      </w:r>
      <w:r w:rsidRPr="00CA7FB9">
        <w:t xml:space="preserve">All SAR values are to be averaged over any 6-min period. </w:t>
      </w:r>
    </w:p>
    <w:p w14:paraId="5F65626C" w14:textId="77777777" w:rsidR="00CA7FB9" w:rsidRDefault="00CA7FB9" w:rsidP="00F457AB">
      <w:pPr>
        <w:pStyle w:val="REG-P0"/>
        <w:ind w:left="567" w:hanging="567"/>
      </w:pPr>
      <w:r w:rsidRPr="00CA7FB9">
        <w:t xml:space="preserve">6. </w:t>
      </w:r>
      <w:r>
        <w:tab/>
      </w:r>
      <w:r w:rsidRPr="00CA7FB9">
        <w:t xml:space="preserve">Localized SAR averaging mass is any 10 g of contiguous tissue; the maximum SAR so obtained should be the value used for the estimation of exposure. </w:t>
      </w:r>
    </w:p>
    <w:p w14:paraId="355C3E4D" w14:textId="24868350" w:rsidR="00CA7FB9" w:rsidRDefault="00CA7FB9" w:rsidP="00F457AB">
      <w:pPr>
        <w:pStyle w:val="REG-P0"/>
        <w:ind w:left="567" w:hanging="567"/>
      </w:pPr>
      <w:r w:rsidRPr="00CA7FB9">
        <w:t xml:space="preserve">7. </w:t>
      </w:r>
      <w:r>
        <w:tab/>
      </w:r>
      <w:r w:rsidRPr="00CA7FB9">
        <w:t xml:space="preserve">For pulses of duration </w:t>
      </w:r>
      <w:r w:rsidRPr="00CA7FB9">
        <w:rPr>
          <w:i/>
        </w:rPr>
        <w:t>tp</w:t>
      </w:r>
      <w:r w:rsidRPr="00CA7FB9">
        <w:t xml:space="preserve"> the equivalent frequency to apply in the basic restrictions should be calculated as </w:t>
      </w:r>
      <w:r w:rsidRPr="00CA7FB9">
        <w:rPr>
          <w:i/>
        </w:rPr>
        <w:t xml:space="preserve">f </w:t>
      </w:r>
      <w:r w:rsidRPr="00CA7FB9">
        <w:t>5 1/(2</w:t>
      </w:r>
      <w:r w:rsidRPr="00CA7FB9">
        <w:rPr>
          <w:i/>
        </w:rPr>
        <w:t>tp</w:t>
      </w:r>
      <w:r w:rsidRPr="00CA7FB9">
        <w:t>). Additionally, for pulsed exposures in the frequency range 0.3 to 10 GHz and for localized exposure of the head, in order to limit or avoid auditory effects caused by thermoelastic expansion, an additional basic restriction is recommended. This is that the SA should not exceed 10 mJ kg21 for workers and 2mJ kg21 for the general public, averaged over 10 g tissue.</w:t>
      </w:r>
    </w:p>
    <w:p w14:paraId="57686835" w14:textId="77777777" w:rsidR="00CA7FB9" w:rsidRDefault="00CA7FB9" w:rsidP="00CA7FB9">
      <w:pPr>
        <w:ind w:left="567" w:hanging="567"/>
      </w:pPr>
    </w:p>
    <w:p w14:paraId="3DB346A0" w14:textId="77777777" w:rsidR="00CA7FB9" w:rsidRDefault="00CA7FB9" w:rsidP="004D2246">
      <w:pPr>
        <w:pStyle w:val="REG-P0"/>
      </w:pPr>
      <w:r w:rsidRPr="00CA7FB9">
        <w:t xml:space="preserve">Note (b): </w:t>
      </w:r>
    </w:p>
    <w:p w14:paraId="43B5B2CF" w14:textId="77777777" w:rsidR="00CA7FB9" w:rsidRPr="004D2246" w:rsidRDefault="00CA7FB9" w:rsidP="004D2246">
      <w:pPr>
        <w:pStyle w:val="REG-P0"/>
        <w:ind w:left="567" w:hanging="567"/>
        <w:rPr>
          <w:rStyle w:val="REG-P0Char"/>
        </w:rPr>
      </w:pPr>
      <w:r w:rsidRPr="00CA7FB9">
        <w:t xml:space="preserve">1. </w:t>
      </w:r>
      <w:r>
        <w:tab/>
      </w:r>
      <w:r w:rsidRPr="004D2246">
        <w:rPr>
          <w:rStyle w:val="REG-P0Char"/>
        </w:rPr>
        <w:t>Power densities are to be averaged over any 20 cm2 of exposed area and any 68/</w:t>
      </w:r>
      <w:r w:rsidRPr="004D2246">
        <w:rPr>
          <w:rStyle w:val="REG-P0Char"/>
          <w:i/>
        </w:rPr>
        <w:t xml:space="preserve">f </w:t>
      </w:r>
      <w:r w:rsidRPr="004D2246">
        <w:rPr>
          <w:rStyle w:val="REG-P0Char"/>
        </w:rPr>
        <w:t xml:space="preserve">1.05-min period (where </w:t>
      </w:r>
      <w:r w:rsidRPr="004D2246">
        <w:rPr>
          <w:rStyle w:val="REG-P0Char"/>
          <w:i/>
        </w:rPr>
        <w:t xml:space="preserve">f </w:t>
      </w:r>
      <w:r w:rsidRPr="004D2246">
        <w:rPr>
          <w:rStyle w:val="REG-P0Char"/>
        </w:rPr>
        <w:t xml:space="preserve">is in GHz) to compensate for progressively shorter penetration depth as the frequency increases. </w:t>
      </w:r>
    </w:p>
    <w:p w14:paraId="3B4CBAD1" w14:textId="77777777" w:rsidR="004D2246" w:rsidRPr="005111EF" w:rsidRDefault="004D2246" w:rsidP="004D2246">
      <w:pPr>
        <w:pStyle w:val="REG-Amend"/>
      </w:pPr>
      <w:r>
        <w:t>[The term “cm2” should probably be “cm</w:t>
      </w:r>
      <w:r>
        <w:rPr>
          <w:vertAlign w:val="superscript"/>
        </w:rPr>
        <w:t>2</w:t>
      </w:r>
      <w:r w:rsidRPr="00F457AB">
        <w:t>”.]</w:t>
      </w:r>
    </w:p>
    <w:p w14:paraId="5B72926B" w14:textId="17706A39" w:rsidR="00CA7FB9" w:rsidRDefault="00CA7FB9" w:rsidP="004D2246">
      <w:pPr>
        <w:pStyle w:val="REG-P0"/>
        <w:ind w:left="567" w:hanging="567"/>
      </w:pPr>
      <w:r w:rsidRPr="00CA7FB9">
        <w:t xml:space="preserve">2. </w:t>
      </w:r>
      <w:r>
        <w:tab/>
      </w:r>
      <w:r w:rsidRPr="00CA7FB9">
        <w:t>Spatial maximum power densities, averaged over 1 cm2, should not exceed 20 times the values above.</w:t>
      </w:r>
    </w:p>
    <w:p w14:paraId="078FA1A8" w14:textId="77777777" w:rsidR="004D2246" w:rsidRPr="005111EF" w:rsidRDefault="004D2246" w:rsidP="004D2246">
      <w:pPr>
        <w:pStyle w:val="REG-Amend"/>
      </w:pPr>
      <w:r>
        <w:t>[The term “cm2” should probably be “cm</w:t>
      </w:r>
      <w:r>
        <w:rPr>
          <w:vertAlign w:val="superscript"/>
        </w:rPr>
        <w:t>2</w:t>
      </w:r>
      <w:r w:rsidRPr="00F457AB">
        <w:t>”.]</w:t>
      </w:r>
    </w:p>
    <w:p w14:paraId="39F7B14B" w14:textId="77777777" w:rsidR="00200F1B" w:rsidRDefault="00200F1B" w:rsidP="00CA7FB9">
      <w:pPr>
        <w:ind w:left="567" w:hanging="567"/>
      </w:pPr>
    </w:p>
    <w:p w14:paraId="4958F755" w14:textId="08C8B0CE" w:rsidR="00CA7FB9" w:rsidRPr="004D2246" w:rsidRDefault="00CA7FB9" w:rsidP="004D2246">
      <w:pPr>
        <w:pStyle w:val="REG-P0"/>
        <w:jc w:val="center"/>
        <w:rPr>
          <w:b/>
        </w:rPr>
      </w:pPr>
      <w:r w:rsidRPr="004D2246">
        <w:rPr>
          <w:b/>
        </w:rPr>
        <w:t>Table 2</w:t>
      </w:r>
    </w:p>
    <w:p w14:paraId="4CDBBDCD" w14:textId="7CD69188" w:rsidR="00CA7FB9" w:rsidRPr="004D2246" w:rsidRDefault="00CA7FB9" w:rsidP="004D2246">
      <w:pPr>
        <w:pStyle w:val="REG-P0"/>
        <w:jc w:val="center"/>
        <w:rPr>
          <w:b/>
        </w:rPr>
      </w:pPr>
      <w:r w:rsidRPr="004D2246">
        <w:rPr>
          <w:b/>
        </w:rPr>
        <w:t xml:space="preserve">Reference Levels </w:t>
      </w:r>
      <w:r w:rsidR="005A6CEE" w:rsidRPr="004D2246">
        <w:rPr>
          <w:b/>
        </w:rPr>
        <w:t>-</w:t>
      </w:r>
      <w:r w:rsidRPr="004D2246">
        <w:rPr>
          <w:b/>
        </w:rPr>
        <w:t xml:space="preserve"> Public Exposure</w:t>
      </w:r>
    </w:p>
    <w:p w14:paraId="17927992" w14:textId="16338BC1" w:rsidR="00CA7FB9" w:rsidRDefault="00CA7FB9" w:rsidP="004D2246">
      <w:pPr>
        <w:pStyle w:val="REG-P0"/>
        <w:jc w:val="center"/>
      </w:pPr>
      <w:r w:rsidRPr="00CA7FB9">
        <w:t>(Reference levels for general public exposure to time-varying electric and magnetic fields (unperturbed rms values)</w:t>
      </w:r>
    </w:p>
    <w:p w14:paraId="52853870" w14:textId="77777777" w:rsidR="00CA7FB9" w:rsidRDefault="00CA7FB9" w:rsidP="00CA7FB9">
      <w:pPr>
        <w:ind w:left="567" w:hanging="567"/>
        <w:jc w:val="center"/>
      </w:pPr>
    </w:p>
    <w:tbl>
      <w:tblPr>
        <w:tblStyle w:val="TableGrid"/>
        <w:tblW w:w="5000" w:type="pct"/>
        <w:tblLook w:val="04A0" w:firstRow="1" w:lastRow="0" w:firstColumn="1" w:lastColumn="0" w:noHBand="0" w:noVBand="1"/>
      </w:tblPr>
      <w:tblGrid>
        <w:gridCol w:w="1704"/>
        <w:gridCol w:w="1692"/>
        <w:gridCol w:w="1694"/>
        <w:gridCol w:w="1694"/>
        <w:gridCol w:w="1704"/>
      </w:tblGrid>
      <w:tr w:rsidR="00484193" w:rsidRPr="00CA7FB9" w14:paraId="48ECB449" w14:textId="77777777" w:rsidTr="002B30C4">
        <w:tc>
          <w:tcPr>
            <w:tcW w:w="1003" w:type="pct"/>
            <w:vAlign w:val="center"/>
          </w:tcPr>
          <w:p w14:paraId="423F0F88" w14:textId="15A5AE0A" w:rsidR="00CA7FB9" w:rsidRPr="00CA7FB9" w:rsidRDefault="00CA7FB9" w:rsidP="005111EF">
            <w:pPr>
              <w:jc w:val="center"/>
              <w:rPr>
                <w:rFonts w:cs="Times New Roman"/>
                <w:sz w:val="20"/>
                <w:szCs w:val="20"/>
              </w:rPr>
            </w:pPr>
            <w:r w:rsidRPr="00CA7FB9">
              <w:rPr>
                <w:rFonts w:cs="Times New Roman"/>
                <w:sz w:val="20"/>
                <w:szCs w:val="20"/>
              </w:rPr>
              <w:t>Frequency range</w:t>
            </w:r>
          </w:p>
        </w:tc>
        <w:tc>
          <w:tcPr>
            <w:tcW w:w="996" w:type="pct"/>
            <w:vAlign w:val="center"/>
          </w:tcPr>
          <w:p w14:paraId="0843ADE0" w14:textId="7396B67D" w:rsidR="00CA7FB9" w:rsidRPr="00CA7FB9" w:rsidRDefault="00CA7FB9" w:rsidP="005111EF">
            <w:pPr>
              <w:jc w:val="center"/>
              <w:rPr>
                <w:rFonts w:cs="Times New Roman"/>
                <w:sz w:val="20"/>
                <w:szCs w:val="20"/>
              </w:rPr>
            </w:pPr>
            <w:r>
              <w:rPr>
                <w:rFonts w:cs="Times New Roman"/>
                <w:sz w:val="20"/>
                <w:szCs w:val="20"/>
              </w:rPr>
              <w:t>E-field strength (V m</w:t>
            </w:r>
            <w:r>
              <w:rPr>
                <w:rFonts w:cs="Times New Roman"/>
                <w:sz w:val="20"/>
                <w:szCs w:val="20"/>
                <w:vertAlign w:val="superscript"/>
              </w:rPr>
              <w:t>-1</w:t>
            </w:r>
            <w:r>
              <w:rPr>
                <w:rFonts w:cs="Times New Roman"/>
                <w:sz w:val="20"/>
                <w:szCs w:val="20"/>
              </w:rPr>
              <w:t>)</w:t>
            </w:r>
          </w:p>
        </w:tc>
        <w:tc>
          <w:tcPr>
            <w:tcW w:w="998" w:type="pct"/>
            <w:vAlign w:val="center"/>
          </w:tcPr>
          <w:p w14:paraId="27721935" w14:textId="6D4C764B" w:rsidR="00CA7FB9" w:rsidRPr="00CA7FB9" w:rsidRDefault="00CA7FB9" w:rsidP="005111EF">
            <w:pPr>
              <w:jc w:val="center"/>
              <w:rPr>
                <w:rFonts w:cs="Times New Roman"/>
                <w:sz w:val="20"/>
                <w:szCs w:val="20"/>
              </w:rPr>
            </w:pPr>
            <w:r>
              <w:rPr>
                <w:rFonts w:cs="Times New Roman"/>
                <w:sz w:val="20"/>
                <w:szCs w:val="20"/>
              </w:rPr>
              <w:t>H-field strength (A m</w:t>
            </w:r>
            <w:r>
              <w:rPr>
                <w:rFonts w:cs="Times New Roman"/>
                <w:sz w:val="20"/>
                <w:szCs w:val="20"/>
                <w:vertAlign w:val="superscript"/>
              </w:rPr>
              <w:t>-1</w:t>
            </w:r>
            <w:r>
              <w:rPr>
                <w:rFonts w:cs="Times New Roman"/>
                <w:sz w:val="20"/>
                <w:szCs w:val="20"/>
              </w:rPr>
              <w:t>)</w:t>
            </w:r>
          </w:p>
        </w:tc>
        <w:tc>
          <w:tcPr>
            <w:tcW w:w="998" w:type="pct"/>
            <w:vAlign w:val="center"/>
          </w:tcPr>
          <w:p w14:paraId="5F3DCDE2" w14:textId="56481227" w:rsidR="00CA7FB9" w:rsidRPr="00CA7FB9" w:rsidRDefault="00CA7FB9" w:rsidP="005111EF">
            <w:pPr>
              <w:jc w:val="center"/>
              <w:rPr>
                <w:rFonts w:cs="Times New Roman"/>
                <w:sz w:val="20"/>
                <w:szCs w:val="20"/>
              </w:rPr>
            </w:pPr>
            <w:r>
              <w:rPr>
                <w:rFonts w:cs="Times New Roman"/>
                <w:sz w:val="20"/>
                <w:szCs w:val="20"/>
              </w:rPr>
              <w:t>B-field (μ</w:t>
            </w:r>
            <w:r w:rsidR="00484193">
              <w:rPr>
                <w:rFonts w:cs="Times New Roman"/>
                <w:sz w:val="20"/>
                <w:szCs w:val="20"/>
              </w:rPr>
              <w:t>T)</w:t>
            </w:r>
          </w:p>
        </w:tc>
        <w:tc>
          <w:tcPr>
            <w:tcW w:w="1004" w:type="pct"/>
            <w:vAlign w:val="center"/>
          </w:tcPr>
          <w:p w14:paraId="611049D1" w14:textId="195E3545" w:rsidR="00CA7FB9" w:rsidRPr="00484193" w:rsidRDefault="00484193" w:rsidP="005111EF">
            <w:pPr>
              <w:jc w:val="center"/>
              <w:rPr>
                <w:rFonts w:cs="Times New Roman"/>
                <w:sz w:val="20"/>
                <w:szCs w:val="20"/>
              </w:rPr>
            </w:pPr>
            <w:r>
              <w:rPr>
                <w:rFonts w:cs="Times New Roman"/>
                <w:sz w:val="20"/>
                <w:szCs w:val="20"/>
              </w:rPr>
              <w:t xml:space="preserve">Equivalent plane wave power density </w:t>
            </w:r>
            <w:r w:rsidR="002B30C4">
              <w:rPr>
                <w:rFonts w:cs="Times New Roman"/>
                <w:sz w:val="20"/>
                <w:szCs w:val="20"/>
              </w:rPr>
              <w:br/>
            </w:r>
            <w:r>
              <w:rPr>
                <w:rFonts w:cs="Times New Roman"/>
                <w:i/>
                <w:sz w:val="20"/>
                <w:szCs w:val="20"/>
              </w:rPr>
              <w:t>S</w:t>
            </w:r>
            <w:r>
              <w:rPr>
                <w:rFonts w:cs="Times New Roman"/>
                <w:sz w:val="20"/>
                <w:szCs w:val="20"/>
              </w:rPr>
              <w:t>eq (W m</w:t>
            </w:r>
            <w:r>
              <w:rPr>
                <w:rFonts w:cs="Times New Roman"/>
                <w:sz w:val="20"/>
                <w:szCs w:val="20"/>
                <w:vertAlign w:val="superscript"/>
              </w:rPr>
              <w:t>-2</w:t>
            </w:r>
            <w:r>
              <w:rPr>
                <w:rFonts w:cs="Times New Roman"/>
                <w:sz w:val="20"/>
                <w:szCs w:val="20"/>
              </w:rPr>
              <w:t>)</w:t>
            </w:r>
          </w:p>
        </w:tc>
      </w:tr>
      <w:tr w:rsidR="00484193" w:rsidRPr="00CA7FB9" w14:paraId="3932D2B9" w14:textId="77777777" w:rsidTr="002B30C4">
        <w:tc>
          <w:tcPr>
            <w:tcW w:w="1003" w:type="pct"/>
          </w:tcPr>
          <w:p w14:paraId="3BCD3ACC" w14:textId="562ABD7C" w:rsidR="00CA7FB9" w:rsidRPr="00CA7FB9" w:rsidRDefault="00484193" w:rsidP="009C6AB2">
            <w:pPr>
              <w:rPr>
                <w:rFonts w:cs="Times New Roman"/>
                <w:sz w:val="20"/>
                <w:szCs w:val="20"/>
              </w:rPr>
            </w:pPr>
            <w:r>
              <w:rPr>
                <w:rFonts w:cs="Times New Roman"/>
                <w:sz w:val="20"/>
                <w:szCs w:val="20"/>
              </w:rPr>
              <w:t>up to 1 Hz</w:t>
            </w:r>
          </w:p>
        </w:tc>
        <w:tc>
          <w:tcPr>
            <w:tcW w:w="996" w:type="pct"/>
          </w:tcPr>
          <w:p w14:paraId="4B557BA0" w14:textId="2638F832" w:rsidR="00CA7FB9" w:rsidRPr="00CA7FB9" w:rsidRDefault="00484193" w:rsidP="009C6AB2">
            <w:pPr>
              <w:rPr>
                <w:rFonts w:cs="Times New Roman"/>
                <w:sz w:val="20"/>
                <w:szCs w:val="20"/>
              </w:rPr>
            </w:pPr>
            <w:r>
              <w:rPr>
                <w:rFonts w:cs="Times New Roman"/>
                <w:sz w:val="20"/>
                <w:szCs w:val="20"/>
              </w:rPr>
              <w:t>-</w:t>
            </w:r>
          </w:p>
        </w:tc>
        <w:tc>
          <w:tcPr>
            <w:tcW w:w="998" w:type="pct"/>
          </w:tcPr>
          <w:p w14:paraId="297488F6" w14:textId="0B72DBCE" w:rsidR="00CA7FB9" w:rsidRPr="00484193" w:rsidRDefault="00484193" w:rsidP="009C6AB2">
            <w:pPr>
              <w:rPr>
                <w:rFonts w:cs="Times New Roman"/>
                <w:sz w:val="20"/>
                <w:szCs w:val="20"/>
                <w:vertAlign w:val="superscript"/>
              </w:rPr>
            </w:pPr>
            <w:r>
              <w:rPr>
                <w:rFonts w:cs="Times New Roman"/>
                <w:sz w:val="20"/>
                <w:szCs w:val="20"/>
              </w:rPr>
              <w:t>3.2 x 10</w:t>
            </w:r>
            <w:r>
              <w:rPr>
                <w:rFonts w:cs="Times New Roman"/>
                <w:sz w:val="20"/>
                <w:szCs w:val="20"/>
                <w:vertAlign w:val="superscript"/>
              </w:rPr>
              <w:t>4</w:t>
            </w:r>
          </w:p>
        </w:tc>
        <w:tc>
          <w:tcPr>
            <w:tcW w:w="998" w:type="pct"/>
          </w:tcPr>
          <w:p w14:paraId="76B7050E" w14:textId="052FC50F" w:rsidR="00CA7FB9" w:rsidRPr="00CA7FB9" w:rsidRDefault="00484193" w:rsidP="009C6AB2">
            <w:pPr>
              <w:rPr>
                <w:rFonts w:cs="Times New Roman"/>
                <w:sz w:val="20"/>
                <w:szCs w:val="20"/>
              </w:rPr>
            </w:pPr>
            <w:r>
              <w:rPr>
                <w:rFonts w:cs="Times New Roman"/>
                <w:sz w:val="20"/>
                <w:szCs w:val="20"/>
              </w:rPr>
              <w:t>4 x 10</w:t>
            </w:r>
            <w:r>
              <w:rPr>
                <w:rFonts w:cs="Times New Roman"/>
                <w:sz w:val="20"/>
                <w:szCs w:val="20"/>
                <w:vertAlign w:val="superscript"/>
              </w:rPr>
              <w:t>4</w:t>
            </w:r>
          </w:p>
        </w:tc>
        <w:tc>
          <w:tcPr>
            <w:tcW w:w="1004" w:type="pct"/>
          </w:tcPr>
          <w:p w14:paraId="6649D30F" w14:textId="72966609" w:rsidR="00CA7FB9" w:rsidRPr="00CA7FB9" w:rsidRDefault="00484193" w:rsidP="009C6AB2">
            <w:pPr>
              <w:rPr>
                <w:rFonts w:cs="Times New Roman"/>
                <w:sz w:val="20"/>
                <w:szCs w:val="20"/>
              </w:rPr>
            </w:pPr>
            <w:r>
              <w:rPr>
                <w:rFonts w:cs="Times New Roman"/>
                <w:sz w:val="20"/>
                <w:szCs w:val="20"/>
              </w:rPr>
              <w:t>-</w:t>
            </w:r>
          </w:p>
        </w:tc>
      </w:tr>
      <w:tr w:rsidR="00484193" w:rsidRPr="00CA7FB9" w14:paraId="25B2E5AC" w14:textId="77777777" w:rsidTr="002B30C4">
        <w:tc>
          <w:tcPr>
            <w:tcW w:w="1003" w:type="pct"/>
          </w:tcPr>
          <w:p w14:paraId="6DCAC8BD" w14:textId="7795380B" w:rsidR="00CA7FB9" w:rsidRPr="00CA7FB9" w:rsidRDefault="00484193" w:rsidP="009C6AB2">
            <w:pPr>
              <w:rPr>
                <w:rFonts w:cs="Times New Roman"/>
                <w:sz w:val="20"/>
                <w:szCs w:val="20"/>
              </w:rPr>
            </w:pPr>
            <w:r>
              <w:rPr>
                <w:rFonts w:cs="Times New Roman"/>
                <w:sz w:val="20"/>
                <w:szCs w:val="20"/>
              </w:rPr>
              <w:t>1</w:t>
            </w:r>
            <w:r w:rsidR="00AF5299">
              <w:rPr>
                <w:rFonts w:cs="Times New Roman"/>
                <w:sz w:val="20"/>
                <w:szCs w:val="20"/>
              </w:rPr>
              <w:t>–</w:t>
            </w:r>
            <w:r>
              <w:rPr>
                <w:rFonts w:cs="Times New Roman"/>
                <w:sz w:val="20"/>
                <w:szCs w:val="20"/>
              </w:rPr>
              <w:t>8 Hz</w:t>
            </w:r>
          </w:p>
        </w:tc>
        <w:tc>
          <w:tcPr>
            <w:tcW w:w="996" w:type="pct"/>
          </w:tcPr>
          <w:p w14:paraId="1783EA15" w14:textId="23EC7CD6" w:rsidR="00CA7FB9" w:rsidRPr="00CA7FB9" w:rsidRDefault="00484193" w:rsidP="004D2246">
            <w:pPr>
              <w:rPr>
                <w:rFonts w:cs="Times New Roman"/>
                <w:sz w:val="20"/>
                <w:szCs w:val="20"/>
              </w:rPr>
            </w:pPr>
            <w:r>
              <w:rPr>
                <w:rFonts w:cs="Times New Roman"/>
                <w:sz w:val="20"/>
                <w:szCs w:val="20"/>
              </w:rPr>
              <w:t>10,000</w:t>
            </w:r>
          </w:p>
        </w:tc>
        <w:tc>
          <w:tcPr>
            <w:tcW w:w="998" w:type="pct"/>
          </w:tcPr>
          <w:p w14:paraId="3AB7DF00" w14:textId="7C0013B2" w:rsidR="00CA7FB9" w:rsidRPr="00484193" w:rsidRDefault="00484193" w:rsidP="009C6AB2">
            <w:pPr>
              <w:rPr>
                <w:rFonts w:cs="Times New Roman"/>
                <w:sz w:val="20"/>
                <w:szCs w:val="20"/>
                <w:vertAlign w:val="superscript"/>
              </w:rPr>
            </w:pPr>
            <w:r>
              <w:rPr>
                <w:rFonts w:cs="Times New Roman"/>
                <w:sz w:val="20"/>
                <w:szCs w:val="20"/>
              </w:rPr>
              <w:t>3.2 x 10</w:t>
            </w:r>
            <w:r>
              <w:rPr>
                <w:rFonts w:cs="Times New Roman"/>
                <w:sz w:val="20"/>
                <w:szCs w:val="20"/>
                <w:vertAlign w:val="superscript"/>
              </w:rPr>
              <w:t>4</w:t>
            </w:r>
            <w:r>
              <w:rPr>
                <w:rFonts w:cs="Times New Roman"/>
                <w:sz w:val="20"/>
                <w:szCs w:val="20"/>
              </w:rPr>
              <w:t>/</w:t>
            </w:r>
            <w:r>
              <w:rPr>
                <w:rFonts w:cs="Times New Roman"/>
                <w:i/>
                <w:sz w:val="20"/>
                <w:szCs w:val="20"/>
              </w:rPr>
              <w:t>f</w:t>
            </w:r>
            <w:r>
              <w:rPr>
                <w:rFonts w:cs="Times New Roman"/>
                <w:sz w:val="20"/>
                <w:szCs w:val="20"/>
                <w:vertAlign w:val="superscript"/>
              </w:rPr>
              <w:t>2</w:t>
            </w:r>
          </w:p>
        </w:tc>
        <w:tc>
          <w:tcPr>
            <w:tcW w:w="998" w:type="pct"/>
          </w:tcPr>
          <w:p w14:paraId="3AF2E5C2" w14:textId="61B9375A" w:rsidR="00CA7FB9" w:rsidRPr="00CA7FB9" w:rsidRDefault="00484193" w:rsidP="009C6AB2">
            <w:pPr>
              <w:rPr>
                <w:rFonts w:cs="Times New Roman"/>
                <w:sz w:val="20"/>
                <w:szCs w:val="20"/>
              </w:rPr>
            </w:pPr>
            <w:r>
              <w:rPr>
                <w:rFonts w:cs="Times New Roman"/>
                <w:sz w:val="20"/>
                <w:szCs w:val="20"/>
              </w:rPr>
              <w:t>4 x 10</w:t>
            </w:r>
            <w:r>
              <w:rPr>
                <w:rFonts w:cs="Times New Roman"/>
                <w:sz w:val="20"/>
                <w:szCs w:val="20"/>
                <w:vertAlign w:val="superscript"/>
              </w:rPr>
              <w:t>4</w:t>
            </w:r>
            <w:r>
              <w:rPr>
                <w:rFonts w:cs="Times New Roman"/>
                <w:sz w:val="20"/>
                <w:szCs w:val="20"/>
              </w:rPr>
              <w:t>/</w:t>
            </w:r>
            <w:r>
              <w:rPr>
                <w:rFonts w:cs="Times New Roman"/>
                <w:i/>
                <w:sz w:val="20"/>
                <w:szCs w:val="20"/>
              </w:rPr>
              <w:t>f</w:t>
            </w:r>
            <w:r>
              <w:rPr>
                <w:rFonts w:cs="Times New Roman"/>
                <w:sz w:val="20"/>
                <w:szCs w:val="20"/>
                <w:vertAlign w:val="superscript"/>
              </w:rPr>
              <w:t>2</w:t>
            </w:r>
            <w:r>
              <w:rPr>
                <w:rFonts w:cs="Times New Roman"/>
                <w:sz w:val="20"/>
                <w:szCs w:val="20"/>
              </w:rPr>
              <w:t xml:space="preserve"> </w:t>
            </w:r>
          </w:p>
        </w:tc>
        <w:tc>
          <w:tcPr>
            <w:tcW w:w="1004" w:type="pct"/>
          </w:tcPr>
          <w:p w14:paraId="13650664" w14:textId="0ED5593D" w:rsidR="00CA7FB9" w:rsidRPr="00CA7FB9" w:rsidRDefault="00484193" w:rsidP="009C6AB2">
            <w:pPr>
              <w:rPr>
                <w:rFonts w:cs="Times New Roman"/>
                <w:sz w:val="20"/>
                <w:szCs w:val="20"/>
              </w:rPr>
            </w:pPr>
            <w:r>
              <w:rPr>
                <w:rFonts w:cs="Times New Roman"/>
                <w:sz w:val="20"/>
                <w:szCs w:val="20"/>
              </w:rPr>
              <w:t>-</w:t>
            </w:r>
          </w:p>
        </w:tc>
      </w:tr>
      <w:tr w:rsidR="00484193" w:rsidRPr="00CA7FB9" w14:paraId="0E0AE196" w14:textId="77777777" w:rsidTr="002B30C4">
        <w:tc>
          <w:tcPr>
            <w:tcW w:w="1003" w:type="pct"/>
          </w:tcPr>
          <w:p w14:paraId="5B21CBED" w14:textId="5A8650C2" w:rsidR="00CA7FB9" w:rsidRPr="00CA7FB9" w:rsidRDefault="00484193" w:rsidP="009C6AB2">
            <w:pPr>
              <w:rPr>
                <w:rFonts w:cs="Times New Roman"/>
                <w:sz w:val="20"/>
                <w:szCs w:val="20"/>
              </w:rPr>
            </w:pPr>
            <w:r>
              <w:rPr>
                <w:rFonts w:cs="Times New Roman"/>
                <w:sz w:val="20"/>
                <w:szCs w:val="20"/>
              </w:rPr>
              <w:t>8</w:t>
            </w:r>
            <w:r w:rsidR="00AF5299">
              <w:rPr>
                <w:rFonts w:cs="Times New Roman"/>
                <w:sz w:val="20"/>
                <w:szCs w:val="20"/>
              </w:rPr>
              <w:t>–</w:t>
            </w:r>
            <w:r>
              <w:rPr>
                <w:rFonts w:cs="Times New Roman"/>
                <w:sz w:val="20"/>
                <w:szCs w:val="20"/>
              </w:rPr>
              <w:t>25 Hz</w:t>
            </w:r>
          </w:p>
        </w:tc>
        <w:tc>
          <w:tcPr>
            <w:tcW w:w="996" w:type="pct"/>
          </w:tcPr>
          <w:p w14:paraId="3A993823" w14:textId="2EC42965" w:rsidR="00CA7FB9" w:rsidRPr="00CA7FB9" w:rsidRDefault="00484193" w:rsidP="004D2246">
            <w:pPr>
              <w:rPr>
                <w:rFonts w:cs="Times New Roman"/>
                <w:sz w:val="20"/>
                <w:szCs w:val="20"/>
              </w:rPr>
            </w:pPr>
            <w:r>
              <w:rPr>
                <w:rFonts w:cs="Times New Roman"/>
                <w:sz w:val="20"/>
                <w:szCs w:val="20"/>
              </w:rPr>
              <w:t>10,000</w:t>
            </w:r>
          </w:p>
        </w:tc>
        <w:tc>
          <w:tcPr>
            <w:tcW w:w="998" w:type="pct"/>
          </w:tcPr>
          <w:p w14:paraId="230B65EB" w14:textId="202EF47E" w:rsidR="00CA7FB9" w:rsidRPr="00484193" w:rsidRDefault="00484193" w:rsidP="00946B3F">
            <w:pPr>
              <w:rPr>
                <w:rFonts w:cs="Times New Roman"/>
                <w:i/>
                <w:sz w:val="20"/>
                <w:szCs w:val="20"/>
              </w:rPr>
            </w:pPr>
            <w:r>
              <w:rPr>
                <w:rFonts w:cs="Times New Roman"/>
                <w:sz w:val="20"/>
                <w:szCs w:val="20"/>
              </w:rPr>
              <w:t>4,000/</w:t>
            </w:r>
            <w:r>
              <w:rPr>
                <w:rFonts w:cs="Times New Roman"/>
                <w:i/>
                <w:sz w:val="20"/>
                <w:szCs w:val="20"/>
              </w:rPr>
              <w:t>f</w:t>
            </w:r>
          </w:p>
        </w:tc>
        <w:tc>
          <w:tcPr>
            <w:tcW w:w="998" w:type="pct"/>
          </w:tcPr>
          <w:p w14:paraId="07519BA0" w14:textId="65B67B70" w:rsidR="00CA7FB9" w:rsidRPr="00CA7FB9" w:rsidRDefault="00484193" w:rsidP="00946B3F">
            <w:pPr>
              <w:rPr>
                <w:rFonts w:cs="Times New Roman"/>
                <w:sz w:val="20"/>
                <w:szCs w:val="20"/>
              </w:rPr>
            </w:pPr>
            <w:r>
              <w:rPr>
                <w:rFonts w:cs="Times New Roman"/>
                <w:sz w:val="20"/>
                <w:szCs w:val="20"/>
              </w:rPr>
              <w:t>5,000/</w:t>
            </w:r>
            <w:r>
              <w:rPr>
                <w:rFonts w:cs="Times New Roman"/>
                <w:i/>
                <w:sz w:val="20"/>
                <w:szCs w:val="20"/>
              </w:rPr>
              <w:t>f</w:t>
            </w:r>
          </w:p>
        </w:tc>
        <w:tc>
          <w:tcPr>
            <w:tcW w:w="1004" w:type="pct"/>
          </w:tcPr>
          <w:p w14:paraId="60CC05E4" w14:textId="29CD3747" w:rsidR="00CA7FB9" w:rsidRPr="00CA7FB9" w:rsidRDefault="00484193" w:rsidP="009C6AB2">
            <w:pPr>
              <w:rPr>
                <w:rFonts w:cs="Times New Roman"/>
                <w:sz w:val="20"/>
                <w:szCs w:val="20"/>
              </w:rPr>
            </w:pPr>
            <w:r>
              <w:rPr>
                <w:rFonts w:cs="Times New Roman"/>
                <w:sz w:val="20"/>
                <w:szCs w:val="20"/>
              </w:rPr>
              <w:t>-</w:t>
            </w:r>
          </w:p>
        </w:tc>
      </w:tr>
      <w:tr w:rsidR="00484193" w:rsidRPr="00CA7FB9" w14:paraId="10372E82" w14:textId="77777777" w:rsidTr="002B30C4">
        <w:tc>
          <w:tcPr>
            <w:tcW w:w="1003" w:type="pct"/>
          </w:tcPr>
          <w:p w14:paraId="527CDE3B" w14:textId="616220EA" w:rsidR="00CA7FB9" w:rsidRPr="00CA7FB9" w:rsidRDefault="00484193" w:rsidP="009C6AB2">
            <w:pPr>
              <w:rPr>
                <w:rFonts w:cs="Times New Roman"/>
                <w:sz w:val="20"/>
                <w:szCs w:val="20"/>
              </w:rPr>
            </w:pPr>
            <w:r>
              <w:rPr>
                <w:rFonts w:cs="Times New Roman"/>
                <w:sz w:val="20"/>
                <w:szCs w:val="20"/>
              </w:rPr>
              <w:t>0.025</w:t>
            </w:r>
            <w:r w:rsidR="00AF5299">
              <w:rPr>
                <w:rFonts w:cs="Times New Roman"/>
                <w:sz w:val="20"/>
                <w:szCs w:val="20"/>
              </w:rPr>
              <w:t>–</w:t>
            </w:r>
            <w:r>
              <w:rPr>
                <w:rFonts w:cs="Times New Roman"/>
                <w:sz w:val="20"/>
                <w:szCs w:val="20"/>
              </w:rPr>
              <w:t>0.8 kHz</w:t>
            </w:r>
          </w:p>
        </w:tc>
        <w:tc>
          <w:tcPr>
            <w:tcW w:w="996" w:type="pct"/>
          </w:tcPr>
          <w:p w14:paraId="1B6653C1" w14:textId="45FFFA51" w:rsidR="00CA7FB9" w:rsidRPr="00484193" w:rsidRDefault="00484193" w:rsidP="009C6AB2">
            <w:pPr>
              <w:rPr>
                <w:rFonts w:cs="Times New Roman"/>
                <w:i/>
                <w:sz w:val="20"/>
                <w:szCs w:val="20"/>
              </w:rPr>
            </w:pPr>
            <w:r>
              <w:rPr>
                <w:rFonts w:cs="Times New Roman"/>
                <w:sz w:val="20"/>
                <w:szCs w:val="20"/>
              </w:rPr>
              <w:t>250/</w:t>
            </w:r>
            <w:r>
              <w:rPr>
                <w:rFonts w:cs="Times New Roman"/>
                <w:i/>
                <w:sz w:val="20"/>
                <w:szCs w:val="20"/>
              </w:rPr>
              <w:t>f</w:t>
            </w:r>
          </w:p>
        </w:tc>
        <w:tc>
          <w:tcPr>
            <w:tcW w:w="998" w:type="pct"/>
          </w:tcPr>
          <w:p w14:paraId="3FA7D02E" w14:textId="3A9B664D" w:rsidR="00CA7FB9" w:rsidRPr="00484193" w:rsidRDefault="00484193" w:rsidP="009C6AB2">
            <w:pPr>
              <w:rPr>
                <w:rFonts w:cs="Times New Roman"/>
                <w:i/>
                <w:sz w:val="20"/>
                <w:szCs w:val="20"/>
              </w:rPr>
            </w:pPr>
            <w:r>
              <w:rPr>
                <w:rFonts w:cs="Times New Roman"/>
                <w:sz w:val="20"/>
                <w:szCs w:val="20"/>
              </w:rPr>
              <w:t>4/</w:t>
            </w:r>
            <w:r>
              <w:rPr>
                <w:rFonts w:cs="Times New Roman"/>
                <w:i/>
                <w:sz w:val="20"/>
                <w:szCs w:val="20"/>
              </w:rPr>
              <w:t>f</w:t>
            </w:r>
          </w:p>
        </w:tc>
        <w:tc>
          <w:tcPr>
            <w:tcW w:w="998" w:type="pct"/>
          </w:tcPr>
          <w:p w14:paraId="23EA4FFA" w14:textId="755D53CD" w:rsidR="00CA7FB9" w:rsidRPr="00CA7FB9" w:rsidRDefault="00484193" w:rsidP="009C6AB2">
            <w:pPr>
              <w:rPr>
                <w:rFonts w:cs="Times New Roman"/>
                <w:sz w:val="20"/>
                <w:szCs w:val="20"/>
              </w:rPr>
            </w:pPr>
            <w:r>
              <w:rPr>
                <w:rFonts w:cs="Times New Roman"/>
                <w:sz w:val="20"/>
                <w:szCs w:val="20"/>
              </w:rPr>
              <w:t>5/</w:t>
            </w:r>
            <w:r>
              <w:rPr>
                <w:rFonts w:cs="Times New Roman"/>
                <w:i/>
                <w:sz w:val="20"/>
                <w:szCs w:val="20"/>
              </w:rPr>
              <w:t>f</w:t>
            </w:r>
          </w:p>
        </w:tc>
        <w:tc>
          <w:tcPr>
            <w:tcW w:w="1004" w:type="pct"/>
          </w:tcPr>
          <w:p w14:paraId="6F0AE66F" w14:textId="40CE6886" w:rsidR="00CA7FB9" w:rsidRPr="00CA7FB9" w:rsidRDefault="00484193" w:rsidP="009C6AB2">
            <w:pPr>
              <w:rPr>
                <w:rFonts w:cs="Times New Roman"/>
                <w:sz w:val="20"/>
                <w:szCs w:val="20"/>
              </w:rPr>
            </w:pPr>
            <w:r>
              <w:rPr>
                <w:rFonts w:cs="Times New Roman"/>
                <w:sz w:val="20"/>
                <w:szCs w:val="20"/>
              </w:rPr>
              <w:t>-</w:t>
            </w:r>
          </w:p>
        </w:tc>
      </w:tr>
      <w:tr w:rsidR="00484193" w:rsidRPr="00CA7FB9" w14:paraId="67973142" w14:textId="77777777" w:rsidTr="002B30C4">
        <w:tc>
          <w:tcPr>
            <w:tcW w:w="1003" w:type="pct"/>
          </w:tcPr>
          <w:p w14:paraId="2FFFE035" w14:textId="1EE920B6" w:rsidR="00CA7FB9" w:rsidRPr="00CA7FB9" w:rsidRDefault="00484193" w:rsidP="009C6AB2">
            <w:pPr>
              <w:rPr>
                <w:rFonts w:cs="Times New Roman"/>
                <w:sz w:val="20"/>
                <w:szCs w:val="20"/>
              </w:rPr>
            </w:pPr>
            <w:r>
              <w:rPr>
                <w:rFonts w:cs="Times New Roman"/>
                <w:sz w:val="20"/>
                <w:szCs w:val="20"/>
              </w:rPr>
              <w:t>0.8</w:t>
            </w:r>
            <w:r w:rsidR="00AF5299">
              <w:rPr>
                <w:rFonts w:cs="Times New Roman"/>
                <w:sz w:val="20"/>
                <w:szCs w:val="20"/>
              </w:rPr>
              <w:t>–</w:t>
            </w:r>
            <w:r>
              <w:rPr>
                <w:rFonts w:cs="Times New Roman"/>
                <w:sz w:val="20"/>
                <w:szCs w:val="20"/>
              </w:rPr>
              <w:t>3 kHz</w:t>
            </w:r>
          </w:p>
        </w:tc>
        <w:tc>
          <w:tcPr>
            <w:tcW w:w="996" w:type="pct"/>
          </w:tcPr>
          <w:p w14:paraId="064926D3" w14:textId="7DBF4446" w:rsidR="00CA7FB9" w:rsidRPr="00CA7FB9" w:rsidRDefault="00484193" w:rsidP="009C6AB2">
            <w:pPr>
              <w:rPr>
                <w:rFonts w:cs="Times New Roman"/>
                <w:sz w:val="20"/>
                <w:szCs w:val="20"/>
              </w:rPr>
            </w:pPr>
            <w:r>
              <w:rPr>
                <w:rFonts w:cs="Times New Roman"/>
                <w:sz w:val="20"/>
                <w:szCs w:val="20"/>
              </w:rPr>
              <w:t>250/</w:t>
            </w:r>
            <w:r>
              <w:rPr>
                <w:rFonts w:cs="Times New Roman"/>
                <w:i/>
                <w:sz w:val="20"/>
                <w:szCs w:val="20"/>
              </w:rPr>
              <w:t>f</w:t>
            </w:r>
          </w:p>
        </w:tc>
        <w:tc>
          <w:tcPr>
            <w:tcW w:w="998" w:type="pct"/>
          </w:tcPr>
          <w:p w14:paraId="3F6330C3" w14:textId="76B07A20" w:rsidR="00CA7FB9" w:rsidRPr="00CA7FB9" w:rsidRDefault="00484193" w:rsidP="009C6AB2">
            <w:pPr>
              <w:rPr>
                <w:rFonts w:cs="Times New Roman"/>
                <w:sz w:val="20"/>
                <w:szCs w:val="20"/>
              </w:rPr>
            </w:pPr>
            <w:r>
              <w:rPr>
                <w:rFonts w:cs="Times New Roman"/>
                <w:sz w:val="20"/>
                <w:szCs w:val="20"/>
              </w:rPr>
              <w:t>5</w:t>
            </w:r>
          </w:p>
        </w:tc>
        <w:tc>
          <w:tcPr>
            <w:tcW w:w="998" w:type="pct"/>
          </w:tcPr>
          <w:p w14:paraId="5B5286F3" w14:textId="1864D99C" w:rsidR="00CA7FB9" w:rsidRPr="00CA7FB9" w:rsidRDefault="00484193" w:rsidP="009C6AB2">
            <w:pPr>
              <w:rPr>
                <w:rFonts w:cs="Times New Roman"/>
                <w:sz w:val="20"/>
                <w:szCs w:val="20"/>
              </w:rPr>
            </w:pPr>
            <w:r>
              <w:rPr>
                <w:rFonts w:cs="Times New Roman"/>
                <w:sz w:val="20"/>
                <w:szCs w:val="20"/>
              </w:rPr>
              <w:t>6.25</w:t>
            </w:r>
          </w:p>
        </w:tc>
        <w:tc>
          <w:tcPr>
            <w:tcW w:w="1004" w:type="pct"/>
          </w:tcPr>
          <w:p w14:paraId="080FF784" w14:textId="498CAC54" w:rsidR="00CA7FB9" w:rsidRPr="00CA7FB9" w:rsidRDefault="00484193" w:rsidP="009C6AB2">
            <w:pPr>
              <w:rPr>
                <w:rFonts w:cs="Times New Roman"/>
                <w:sz w:val="20"/>
                <w:szCs w:val="20"/>
              </w:rPr>
            </w:pPr>
            <w:r>
              <w:rPr>
                <w:rFonts w:cs="Times New Roman"/>
                <w:sz w:val="20"/>
                <w:szCs w:val="20"/>
              </w:rPr>
              <w:t>-</w:t>
            </w:r>
          </w:p>
        </w:tc>
      </w:tr>
      <w:tr w:rsidR="00484193" w:rsidRPr="00CA7FB9" w14:paraId="685EEE54" w14:textId="77777777" w:rsidTr="002B30C4">
        <w:tc>
          <w:tcPr>
            <w:tcW w:w="1003" w:type="pct"/>
          </w:tcPr>
          <w:p w14:paraId="2E49948F" w14:textId="2D2041AA" w:rsidR="00CA7FB9" w:rsidRPr="00CA7FB9" w:rsidRDefault="00484193" w:rsidP="009C6AB2">
            <w:pPr>
              <w:rPr>
                <w:rFonts w:cs="Times New Roman"/>
                <w:sz w:val="20"/>
                <w:szCs w:val="20"/>
              </w:rPr>
            </w:pPr>
            <w:r>
              <w:rPr>
                <w:rFonts w:cs="Times New Roman"/>
                <w:sz w:val="20"/>
                <w:szCs w:val="20"/>
              </w:rPr>
              <w:t>3</w:t>
            </w:r>
            <w:r w:rsidR="00AF5299">
              <w:rPr>
                <w:rFonts w:cs="Times New Roman"/>
                <w:sz w:val="20"/>
                <w:szCs w:val="20"/>
              </w:rPr>
              <w:t>–</w:t>
            </w:r>
            <w:r>
              <w:rPr>
                <w:rFonts w:cs="Times New Roman"/>
                <w:sz w:val="20"/>
                <w:szCs w:val="20"/>
              </w:rPr>
              <w:t>150 kHz</w:t>
            </w:r>
          </w:p>
        </w:tc>
        <w:tc>
          <w:tcPr>
            <w:tcW w:w="996" w:type="pct"/>
          </w:tcPr>
          <w:p w14:paraId="57D4F4C9" w14:textId="2DAB1FCD" w:rsidR="00CA7FB9" w:rsidRPr="00CA7FB9" w:rsidRDefault="00484193" w:rsidP="009C6AB2">
            <w:pPr>
              <w:rPr>
                <w:rFonts w:cs="Times New Roman"/>
                <w:sz w:val="20"/>
                <w:szCs w:val="20"/>
              </w:rPr>
            </w:pPr>
            <w:r>
              <w:rPr>
                <w:rFonts w:cs="Times New Roman"/>
                <w:sz w:val="20"/>
                <w:szCs w:val="20"/>
              </w:rPr>
              <w:t>87</w:t>
            </w:r>
          </w:p>
        </w:tc>
        <w:tc>
          <w:tcPr>
            <w:tcW w:w="998" w:type="pct"/>
          </w:tcPr>
          <w:p w14:paraId="1FBF9DC3" w14:textId="6B4A1BE0" w:rsidR="00CA7FB9" w:rsidRPr="00CA7FB9" w:rsidRDefault="00484193" w:rsidP="009C6AB2">
            <w:pPr>
              <w:rPr>
                <w:rFonts w:cs="Times New Roman"/>
                <w:sz w:val="20"/>
                <w:szCs w:val="20"/>
              </w:rPr>
            </w:pPr>
            <w:r>
              <w:rPr>
                <w:rFonts w:cs="Times New Roman"/>
                <w:sz w:val="20"/>
                <w:szCs w:val="20"/>
              </w:rPr>
              <w:t>5</w:t>
            </w:r>
          </w:p>
        </w:tc>
        <w:tc>
          <w:tcPr>
            <w:tcW w:w="998" w:type="pct"/>
          </w:tcPr>
          <w:p w14:paraId="1513F40B" w14:textId="6FFCEBFE" w:rsidR="00CA7FB9" w:rsidRPr="00CA7FB9" w:rsidRDefault="00484193" w:rsidP="009C6AB2">
            <w:pPr>
              <w:rPr>
                <w:rFonts w:cs="Times New Roman"/>
                <w:sz w:val="20"/>
                <w:szCs w:val="20"/>
              </w:rPr>
            </w:pPr>
            <w:r>
              <w:rPr>
                <w:rFonts w:cs="Times New Roman"/>
                <w:sz w:val="20"/>
                <w:szCs w:val="20"/>
              </w:rPr>
              <w:t>6.25</w:t>
            </w:r>
          </w:p>
        </w:tc>
        <w:tc>
          <w:tcPr>
            <w:tcW w:w="1004" w:type="pct"/>
          </w:tcPr>
          <w:p w14:paraId="3986184C" w14:textId="34BBEF94" w:rsidR="00CA7FB9" w:rsidRPr="00CA7FB9" w:rsidRDefault="00484193" w:rsidP="009C6AB2">
            <w:pPr>
              <w:rPr>
                <w:rFonts w:cs="Times New Roman"/>
                <w:sz w:val="20"/>
                <w:szCs w:val="20"/>
              </w:rPr>
            </w:pPr>
            <w:r>
              <w:rPr>
                <w:rFonts w:cs="Times New Roman"/>
                <w:sz w:val="20"/>
                <w:szCs w:val="20"/>
              </w:rPr>
              <w:t>-</w:t>
            </w:r>
          </w:p>
        </w:tc>
      </w:tr>
      <w:tr w:rsidR="00484193" w:rsidRPr="00CA7FB9" w14:paraId="009221CF" w14:textId="77777777" w:rsidTr="002B30C4">
        <w:tc>
          <w:tcPr>
            <w:tcW w:w="1003" w:type="pct"/>
          </w:tcPr>
          <w:p w14:paraId="1CE9FABD" w14:textId="615B28B9" w:rsidR="00CA7FB9" w:rsidRPr="00CA7FB9" w:rsidRDefault="00484193" w:rsidP="009C6AB2">
            <w:pPr>
              <w:rPr>
                <w:rFonts w:cs="Times New Roman"/>
                <w:sz w:val="20"/>
                <w:szCs w:val="20"/>
              </w:rPr>
            </w:pPr>
            <w:r>
              <w:rPr>
                <w:rFonts w:cs="Times New Roman"/>
                <w:sz w:val="20"/>
                <w:szCs w:val="20"/>
              </w:rPr>
              <w:t>0.15</w:t>
            </w:r>
            <w:r w:rsidR="00AF5299">
              <w:rPr>
                <w:rFonts w:cs="Times New Roman"/>
                <w:sz w:val="20"/>
                <w:szCs w:val="20"/>
              </w:rPr>
              <w:t>–</w:t>
            </w:r>
            <w:r>
              <w:rPr>
                <w:rFonts w:cs="Times New Roman"/>
                <w:sz w:val="20"/>
                <w:szCs w:val="20"/>
              </w:rPr>
              <w:t>1 MHz</w:t>
            </w:r>
          </w:p>
        </w:tc>
        <w:tc>
          <w:tcPr>
            <w:tcW w:w="996" w:type="pct"/>
          </w:tcPr>
          <w:p w14:paraId="5744DF8D" w14:textId="18EFC461" w:rsidR="00CA7FB9" w:rsidRPr="00CA7FB9" w:rsidRDefault="00484193" w:rsidP="009C6AB2">
            <w:pPr>
              <w:rPr>
                <w:rFonts w:cs="Times New Roman"/>
                <w:sz w:val="20"/>
                <w:szCs w:val="20"/>
              </w:rPr>
            </w:pPr>
            <w:r>
              <w:rPr>
                <w:rFonts w:cs="Times New Roman"/>
                <w:sz w:val="20"/>
                <w:szCs w:val="20"/>
              </w:rPr>
              <w:t>87</w:t>
            </w:r>
          </w:p>
        </w:tc>
        <w:tc>
          <w:tcPr>
            <w:tcW w:w="998" w:type="pct"/>
          </w:tcPr>
          <w:p w14:paraId="08411B96" w14:textId="7D139B1D" w:rsidR="00CA7FB9" w:rsidRPr="00484193" w:rsidRDefault="00484193" w:rsidP="009C6AB2">
            <w:pPr>
              <w:rPr>
                <w:rFonts w:cs="Times New Roman"/>
                <w:i/>
                <w:sz w:val="20"/>
                <w:szCs w:val="20"/>
              </w:rPr>
            </w:pPr>
            <w:r>
              <w:rPr>
                <w:rFonts w:cs="Times New Roman"/>
                <w:sz w:val="20"/>
                <w:szCs w:val="20"/>
              </w:rPr>
              <w:t>0.73/</w:t>
            </w:r>
            <w:r>
              <w:rPr>
                <w:rFonts w:cs="Times New Roman"/>
                <w:i/>
                <w:sz w:val="20"/>
                <w:szCs w:val="20"/>
              </w:rPr>
              <w:t>f</w:t>
            </w:r>
          </w:p>
        </w:tc>
        <w:tc>
          <w:tcPr>
            <w:tcW w:w="998" w:type="pct"/>
          </w:tcPr>
          <w:p w14:paraId="44CC0A88" w14:textId="250592F2" w:rsidR="00CA7FB9" w:rsidRPr="00CA7FB9" w:rsidRDefault="00484193" w:rsidP="009C6AB2">
            <w:pPr>
              <w:rPr>
                <w:rFonts w:cs="Times New Roman"/>
                <w:sz w:val="20"/>
                <w:szCs w:val="20"/>
              </w:rPr>
            </w:pPr>
            <w:r>
              <w:rPr>
                <w:rFonts w:cs="Times New Roman"/>
                <w:sz w:val="20"/>
                <w:szCs w:val="20"/>
              </w:rPr>
              <w:t>0.92/</w:t>
            </w:r>
            <w:r>
              <w:rPr>
                <w:rFonts w:cs="Times New Roman"/>
                <w:i/>
                <w:sz w:val="20"/>
                <w:szCs w:val="20"/>
              </w:rPr>
              <w:t>f</w:t>
            </w:r>
          </w:p>
        </w:tc>
        <w:tc>
          <w:tcPr>
            <w:tcW w:w="1004" w:type="pct"/>
          </w:tcPr>
          <w:p w14:paraId="62BCD05B" w14:textId="28E2CB2C" w:rsidR="00CA7FB9" w:rsidRPr="00CA7FB9" w:rsidRDefault="00484193" w:rsidP="009C6AB2">
            <w:pPr>
              <w:rPr>
                <w:rFonts w:cs="Times New Roman"/>
                <w:sz w:val="20"/>
                <w:szCs w:val="20"/>
              </w:rPr>
            </w:pPr>
            <w:r>
              <w:rPr>
                <w:rFonts w:cs="Times New Roman"/>
                <w:sz w:val="20"/>
                <w:szCs w:val="20"/>
              </w:rPr>
              <w:t>-</w:t>
            </w:r>
          </w:p>
        </w:tc>
      </w:tr>
      <w:tr w:rsidR="00484193" w:rsidRPr="00CA7FB9" w14:paraId="14A6C34E" w14:textId="77777777" w:rsidTr="002B30C4">
        <w:tc>
          <w:tcPr>
            <w:tcW w:w="1003" w:type="pct"/>
          </w:tcPr>
          <w:p w14:paraId="36A3C54F" w14:textId="18CBB294" w:rsidR="00CA7FB9" w:rsidRPr="00CA7FB9" w:rsidRDefault="00484193" w:rsidP="009C6AB2">
            <w:pPr>
              <w:rPr>
                <w:rFonts w:cs="Times New Roman"/>
                <w:sz w:val="20"/>
                <w:szCs w:val="20"/>
              </w:rPr>
            </w:pPr>
            <w:r>
              <w:rPr>
                <w:rFonts w:cs="Times New Roman"/>
                <w:sz w:val="20"/>
                <w:szCs w:val="20"/>
              </w:rPr>
              <w:t>1</w:t>
            </w:r>
            <w:r w:rsidR="00AF5299">
              <w:rPr>
                <w:rFonts w:cs="Times New Roman"/>
                <w:sz w:val="20"/>
                <w:szCs w:val="20"/>
              </w:rPr>
              <w:t>–</w:t>
            </w:r>
            <w:r>
              <w:rPr>
                <w:rFonts w:cs="Times New Roman"/>
                <w:sz w:val="20"/>
                <w:szCs w:val="20"/>
              </w:rPr>
              <w:t>10 MHz</w:t>
            </w:r>
          </w:p>
        </w:tc>
        <w:tc>
          <w:tcPr>
            <w:tcW w:w="996" w:type="pct"/>
          </w:tcPr>
          <w:p w14:paraId="43D532B4" w14:textId="7E8CE32F" w:rsidR="00CA7FB9" w:rsidRPr="00484193" w:rsidRDefault="00484193" w:rsidP="009C6AB2">
            <w:pPr>
              <w:rPr>
                <w:rFonts w:cs="Times New Roman"/>
                <w:i/>
                <w:sz w:val="20"/>
                <w:szCs w:val="20"/>
                <w:vertAlign w:val="superscript"/>
              </w:rPr>
            </w:pPr>
            <w:r>
              <w:rPr>
                <w:rFonts w:cs="Times New Roman"/>
                <w:sz w:val="20"/>
                <w:szCs w:val="20"/>
              </w:rPr>
              <w:t>87/</w:t>
            </w:r>
            <w:r>
              <w:rPr>
                <w:rFonts w:cs="Times New Roman"/>
                <w:i/>
                <w:sz w:val="20"/>
                <w:szCs w:val="20"/>
              </w:rPr>
              <w:t>f</w:t>
            </w:r>
            <w:r>
              <w:rPr>
                <w:rFonts w:cs="Times New Roman"/>
                <w:i/>
                <w:sz w:val="20"/>
                <w:szCs w:val="20"/>
                <w:vertAlign w:val="superscript"/>
              </w:rPr>
              <w:t>½</w:t>
            </w:r>
          </w:p>
        </w:tc>
        <w:tc>
          <w:tcPr>
            <w:tcW w:w="998" w:type="pct"/>
          </w:tcPr>
          <w:p w14:paraId="6506F669" w14:textId="22B9A3A2" w:rsidR="00CA7FB9" w:rsidRPr="00CA7FB9" w:rsidRDefault="00484193" w:rsidP="009C6AB2">
            <w:pPr>
              <w:rPr>
                <w:rFonts w:cs="Times New Roman"/>
                <w:sz w:val="20"/>
                <w:szCs w:val="20"/>
              </w:rPr>
            </w:pPr>
            <w:r>
              <w:rPr>
                <w:rFonts w:cs="Times New Roman"/>
                <w:sz w:val="20"/>
                <w:szCs w:val="20"/>
              </w:rPr>
              <w:t>0.73/</w:t>
            </w:r>
            <w:r>
              <w:rPr>
                <w:rFonts w:cs="Times New Roman"/>
                <w:i/>
                <w:sz w:val="20"/>
                <w:szCs w:val="20"/>
              </w:rPr>
              <w:t>f</w:t>
            </w:r>
          </w:p>
        </w:tc>
        <w:tc>
          <w:tcPr>
            <w:tcW w:w="998" w:type="pct"/>
          </w:tcPr>
          <w:p w14:paraId="5727FDDF" w14:textId="4F13D9E6" w:rsidR="00CA7FB9" w:rsidRPr="00CA7FB9" w:rsidRDefault="00484193" w:rsidP="009C6AB2">
            <w:pPr>
              <w:rPr>
                <w:rFonts w:cs="Times New Roman"/>
                <w:sz w:val="20"/>
                <w:szCs w:val="20"/>
              </w:rPr>
            </w:pPr>
            <w:r>
              <w:rPr>
                <w:rFonts w:cs="Times New Roman"/>
                <w:sz w:val="20"/>
                <w:szCs w:val="20"/>
              </w:rPr>
              <w:t>0.92/</w:t>
            </w:r>
            <w:r>
              <w:rPr>
                <w:rFonts w:cs="Times New Roman"/>
                <w:i/>
                <w:sz w:val="20"/>
                <w:szCs w:val="20"/>
              </w:rPr>
              <w:t>f</w:t>
            </w:r>
          </w:p>
        </w:tc>
        <w:tc>
          <w:tcPr>
            <w:tcW w:w="1004" w:type="pct"/>
          </w:tcPr>
          <w:p w14:paraId="34434B26" w14:textId="1F9918A0" w:rsidR="00CA7FB9" w:rsidRPr="00CA7FB9" w:rsidRDefault="00484193" w:rsidP="009C6AB2">
            <w:pPr>
              <w:rPr>
                <w:rFonts w:cs="Times New Roman"/>
                <w:sz w:val="20"/>
                <w:szCs w:val="20"/>
              </w:rPr>
            </w:pPr>
            <w:r>
              <w:rPr>
                <w:rFonts w:cs="Times New Roman"/>
                <w:sz w:val="20"/>
                <w:szCs w:val="20"/>
              </w:rPr>
              <w:t>-</w:t>
            </w:r>
          </w:p>
        </w:tc>
      </w:tr>
      <w:tr w:rsidR="00484193" w:rsidRPr="00CA7FB9" w14:paraId="5A8A5339" w14:textId="77777777" w:rsidTr="002B30C4">
        <w:tc>
          <w:tcPr>
            <w:tcW w:w="1003" w:type="pct"/>
          </w:tcPr>
          <w:p w14:paraId="5C9F3A49" w14:textId="02780B49" w:rsidR="00CA7FB9" w:rsidRPr="00CA7FB9" w:rsidRDefault="00484193" w:rsidP="009C6AB2">
            <w:pPr>
              <w:rPr>
                <w:rFonts w:cs="Times New Roman"/>
                <w:sz w:val="20"/>
                <w:szCs w:val="20"/>
              </w:rPr>
            </w:pPr>
            <w:r>
              <w:rPr>
                <w:rFonts w:cs="Times New Roman"/>
                <w:sz w:val="20"/>
                <w:szCs w:val="20"/>
              </w:rPr>
              <w:t>10</w:t>
            </w:r>
            <w:r w:rsidR="0035554F">
              <w:rPr>
                <w:rFonts w:cs="Times New Roman"/>
                <w:sz w:val="20"/>
                <w:szCs w:val="20"/>
              </w:rPr>
              <w:t>–</w:t>
            </w:r>
            <w:r>
              <w:rPr>
                <w:rFonts w:cs="Times New Roman"/>
                <w:sz w:val="20"/>
                <w:szCs w:val="20"/>
              </w:rPr>
              <w:t>400 MHz</w:t>
            </w:r>
          </w:p>
        </w:tc>
        <w:tc>
          <w:tcPr>
            <w:tcW w:w="996" w:type="pct"/>
          </w:tcPr>
          <w:p w14:paraId="638BF023" w14:textId="7DF47576" w:rsidR="00CA7FB9" w:rsidRPr="00CA7FB9" w:rsidRDefault="00484193" w:rsidP="009C6AB2">
            <w:pPr>
              <w:rPr>
                <w:rFonts w:cs="Times New Roman"/>
                <w:sz w:val="20"/>
                <w:szCs w:val="20"/>
              </w:rPr>
            </w:pPr>
            <w:r>
              <w:rPr>
                <w:rFonts w:cs="Times New Roman"/>
                <w:sz w:val="20"/>
                <w:szCs w:val="20"/>
              </w:rPr>
              <w:t>28</w:t>
            </w:r>
          </w:p>
        </w:tc>
        <w:tc>
          <w:tcPr>
            <w:tcW w:w="998" w:type="pct"/>
          </w:tcPr>
          <w:p w14:paraId="0A8864F5" w14:textId="03A1ADD0" w:rsidR="00CA7FB9" w:rsidRPr="00CA7FB9" w:rsidRDefault="00484193" w:rsidP="009C6AB2">
            <w:pPr>
              <w:rPr>
                <w:rFonts w:cs="Times New Roman"/>
                <w:sz w:val="20"/>
                <w:szCs w:val="20"/>
              </w:rPr>
            </w:pPr>
            <w:r>
              <w:rPr>
                <w:rFonts w:cs="Times New Roman"/>
                <w:sz w:val="20"/>
                <w:szCs w:val="20"/>
              </w:rPr>
              <w:t>0.073</w:t>
            </w:r>
          </w:p>
        </w:tc>
        <w:tc>
          <w:tcPr>
            <w:tcW w:w="998" w:type="pct"/>
          </w:tcPr>
          <w:p w14:paraId="2D95B03F" w14:textId="7A3A3486" w:rsidR="00CA7FB9" w:rsidRPr="00CA7FB9" w:rsidRDefault="00484193" w:rsidP="009C6AB2">
            <w:pPr>
              <w:rPr>
                <w:rFonts w:cs="Times New Roman"/>
                <w:sz w:val="20"/>
                <w:szCs w:val="20"/>
              </w:rPr>
            </w:pPr>
            <w:r>
              <w:rPr>
                <w:rFonts w:cs="Times New Roman"/>
                <w:sz w:val="20"/>
                <w:szCs w:val="20"/>
              </w:rPr>
              <w:t>0.092</w:t>
            </w:r>
          </w:p>
        </w:tc>
        <w:tc>
          <w:tcPr>
            <w:tcW w:w="1004" w:type="pct"/>
          </w:tcPr>
          <w:p w14:paraId="62971EED" w14:textId="4F526A19" w:rsidR="00CA7FB9" w:rsidRPr="00CA7FB9" w:rsidRDefault="00484193" w:rsidP="009C6AB2">
            <w:pPr>
              <w:rPr>
                <w:rFonts w:cs="Times New Roman"/>
                <w:sz w:val="20"/>
                <w:szCs w:val="20"/>
              </w:rPr>
            </w:pPr>
            <w:r>
              <w:rPr>
                <w:rFonts w:cs="Times New Roman"/>
                <w:sz w:val="20"/>
                <w:szCs w:val="20"/>
              </w:rPr>
              <w:t>2</w:t>
            </w:r>
          </w:p>
        </w:tc>
      </w:tr>
      <w:tr w:rsidR="00484193" w:rsidRPr="00CA7FB9" w14:paraId="7AC2AA0F" w14:textId="77777777" w:rsidTr="002B30C4">
        <w:tc>
          <w:tcPr>
            <w:tcW w:w="1003" w:type="pct"/>
          </w:tcPr>
          <w:p w14:paraId="07A7857B" w14:textId="08003184" w:rsidR="00CA7FB9" w:rsidRPr="00CA7FB9" w:rsidRDefault="00484193" w:rsidP="009C6AB2">
            <w:pPr>
              <w:rPr>
                <w:rFonts w:cs="Times New Roman"/>
                <w:sz w:val="20"/>
                <w:szCs w:val="20"/>
              </w:rPr>
            </w:pPr>
            <w:r>
              <w:rPr>
                <w:rFonts w:cs="Times New Roman"/>
                <w:sz w:val="20"/>
                <w:szCs w:val="20"/>
              </w:rPr>
              <w:t>400</w:t>
            </w:r>
            <w:r w:rsidR="0035554F">
              <w:rPr>
                <w:rFonts w:cs="Times New Roman"/>
                <w:sz w:val="20"/>
                <w:szCs w:val="20"/>
              </w:rPr>
              <w:t>–</w:t>
            </w:r>
            <w:r>
              <w:rPr>
                <w:rFonts w:cs="Times New Roman"/>
                <w:sz w:val="20"/>
                <w:szCs w:val="20"/>
              </w:rPr>
              <w:t>2,000 MHz</w:t>
            </w:r>
          </w:p>
        </w:tc>
        <w:tc>
          <w:tcPr>
            <w:tcW w:w="996" w:type="pct"/>
          </w:tcPr>
          <w:p w14:paraId="40B87602" w14:textId="42A453F0" w:rsidR="00CA7FB9" w:rsidRPr="00CA7FB9" w:rsidRDefault="00484193" w:rsidP="009C6AB2">
            <w:pPr>
              <w:rPr>
                <w:rFonts w:cs="Times New Roman"/>
                <w:sz w:val="20"/>
                <w:szCs w:val="20"/>
              </w:rPr>
            </w:pPr>
            <w:r>
              <w:rPr>
                <w:rFonts w:cs="Times New Roman"/>
                <w:sz w:val="20"/>
                <w:szCs w:val="20"/>
              </w:rPr>
              <w:t>1.375</w:t>
            </w:r>
            <w:r>
              <w:rPr>
                <w:rFonts w:cs="Times New Roman"/>
                <w:i/>
                <w:sz w:val="20"/>
                <w:szCs w:val="20"/>
              </w:rPr>
              <w:t xml:space="preserve"> f</w:t>
            </w:r>
            <w:r>
              <w:rPr>
                <w:rFonts w:cs="Times New Roman"/>
                <w:i/>
                <w:sz w:val="20"/>
                <w:szCs w:val="20"/>
                <w:vertAlign w:val="superscript"/>
              </w:rPr>
              <w:t>½</w:t>
            </w:r>
          </w:p>
        </w:tc>
        <w:tc>
          <w:tcPr>
            <w:tcW w:w="998" w:type="pct"/>
          </w:tcPr>
          <w:p w14:paraId="7F93F8A6" w14:textId="0C8FADC9" w:rsidR="00CA7FB9" w:rsidRPr="00484193" w:rsidRDefault="00484193" w:rsidP="009C6AB2">
            <w:pPr>
              <w:rPr>
                <w:rFonts w:cs="Times New Roman"/>
                <w:i/>
                <w:sz w:val="20"/>
                <w:szCs w:val="20"/>
              </w:rPr>
            </w:pPr>
            <w:r>
              <w:rPr>
                <w:rFonts w:cs="Times New Roman"/>
                <w:sz w:val="20"/>
                <w:szCs w:val="20"/>
              </w:rPr>
              <w:t>0.0037</w:t>
            </w:r>
            <w:r>
              <w:rPr>
                <w:rFonts w:cs="Times New Roman"/>
                <w:i/>
                <w:sz w:val="20"/>
                <w:szCs w:val="20"/>
              </w:rPr>
              <w:t>f</w:t>
            </w:r>
            <w:r>
              <w:rPr>
                <w:rFonts w:cs="Times New Roman"/>
                <w:i/>
                <w:sz w:val="20"/>
                <w:szCs w:val="20"/>
                <w:vertAlign w:val="superscript"/>
              </w:rPr>
              <w:t>½</w:t>
            </w:r>
          </w:p>
        </w:tc>
        <w:tc>
          <w:tcPr>
            <w:tcW w:w="998" w:type="pct"/>
          </w:tcPr>
          <w:p w14:paraId="6AB6F4E8" w14:textId="420E9387" w:rsidR="00CA7FB9" w:rsidRPr="00CA7FB9" w:rsidRDefault="00484193" w:rsidP="009C6AB2">
            <w:pPr>
              <w:rPr>
                <w:rFonts w:cs="Times New Roman"/>
                <w:sz w:val="20"/>
                <w:szCs w:val="20"/>
              </w:rPr>
            </w:pPr>
            <w:r>
              <w:rPr>
                <w:rFonts w:cs="Times New Roman"/>
                <w:sz w:val="20"/>
                <w:szCs w:val="20"/>
              </w:rPr>
              <w:t>0.0046</w:t>
            </w:r>
            <w:r>
              <w:rPr>
                <w:rFonts w:cs="Times New Roman"/>
                <w:i/>
                <w:sz w:val="20"/>
                <w:szCs w:val="20"/>
              </w:rPr>
              <w:t>f</w:t>
            </w:r>
            <w:r>
              <w:rPr>
                <w:rFonts w:cs="Times New Roman"/>
                <w:i/>
                <w:sz w:val="20"/>
                <w:szCs w:val="20"/>
                <w:vertAlign w:val="superscript"/>
              </w:rPr>
              <w:t>½</w:t>
            </w:r>
          </w:p>
        </w:tc>
        <w:tc>
          <w:tcPr>
            <w:tcW w:w="1004" w:type="pct"/>
          </w:tcPr>
          <w:p w14:paraId="07DE6B2F" w14:textId="1AEFD63B" w:rsidR="00CA7FB9" w:rsidRPr="00484193" w:rsidRDefault="00484193" w:rsidP="009C6AB2">
            <w:pPr>
              <w:rPr>
                <w:rFonts w:cs="Times New Roman"/>
                <w:sz w:val="20"/>
                <w:szCs w:val="20"/>
              </w:rPr>
            </w:pPr>
            <w:r>
              <w:rPr>
                <w:rFonts w:cs="Times New Roman"/>
                <w:i/>
                <w:sz w:val="20"/>
                <w:szCs w:val="20"/>
              </w:rPr>
              <w:t>f</w:t>
            </w:r>
            <w:r>
              <w:rPr>
                <w:rFonts w:cs="Times New Roman"/>
                <w:sz w:val="20"/>
                <w:szCs w:val="20"/>
              </w:rPr>
              <w:t>/200</w:t>
            </w:r>
          </w:p>
        </w:tc>
      </w:tr>
      <w:tr w:rsidR="00484193" w:rsidRPr="00CA7FB9" w14:paraId="50422C2E" w14:textId="77777777" w:rsidTr="002B30C4">
        <w:tc>
          <w:tcPr>
            <w:tcW w:w="1003" w:type="pct"/>
          </w:tcPr>
          <w:p w14:paraId="1903064D" w14:textId="38107CB2" w:rsidR="00CA7FB9" w:rsidRPr="00CA7FB9" w:rsidRDefault="00484193" w:rsidP="009C6AB2">
            <w:pPr>
              <w:rPr>
                <w:rFonts w:cs="Times New Roman"/>
                <w:sz w:val="20"/>
                <w:szCs w:val="20"/>
              </w:rPr>
            </w:pPr>
            <w:r>
              <w:rPr>
                <w:rFonts w:cs="Times New Roman"/>
                <w:sz w:val="20"/>
                <w:szCs w:val="20"/>
              </w:rPr>
              <w:t>2</w:t>
            </w:r>
            <w:r w:rsidR="0035554F">
              <w:rPr>
                <w:rFonts w:cs="Times New Roman"/>
                <w:sz w:val="20"/>
                <w:szCs w:val="20"/>
              </w:rPr>
              <w:t>–</w:t>
            </w:r>
            <w:r>
              <w:rPr>
                <w:rFonts w:cs="Times New Roman"/>
                <w:sz w:val="20"/>
                <w:szCs w:val="20"/>
              </w:rPr>
              <w:t>300 GHz</w:t>
            </w:r>
          </w:p>
        </w:tc>
        <w:tc>
          <w:tcPr>
            <w:tcW w:w="996" w:type="pct"/>
          </w:tcPr>
          <w:p w14:paraId="24156D66" w14:textId="3534EE23" w:rsidR="00CA7FB9" w:rsidRPr="00CA7FB9" w:rsidRDefault="00484193" w:rsidP="009C6AB2">
            <w:pPr>
              <w:rPr>
                <w:rFonts w:cs="Times New Roman"/>
                <w:sz w:val="20"/>
                <w:szCs w:val="20"/>
              </w:rPr>
            </w:pPr>
            <w:r>
              <w:rPr>
                <w:rFonts w:cs="Times New Roman"/>
                <w:sz w:val="20"/>
                <w:szCs w:val="20"/>
              </w:rPr>
              <w:t>61</w:t>
            </w:r>
          </w:p>
        </w:tc>
        <w:tc>
          <w:tcPr>
            <w:tcW w:w="998" w:type="pct"/>
          </w:tcPr>
          <w:p w14:paraId="6512A916" w14:textId="7F0ABF59" w:rsidR="00CA7FB9" w:rsidRPr="00CA7FB9" w:rsidRDefault="00484193" w:rsidP="009C6AB2">
            <w:pPr>
              <w:rPr>
                <w:rFonts w:cs="Times New Roman"/>
                <w:sz w:val="20"/>
                <w:szCs w:val="20"/>
              </w:rPr>
            </w:pPr>
            <w:r>
              <w:rPr>
                <w:rFonts w:cs="Times New Roman"/>
                <w:sz w:val="20"/>
                <w:szCs w:val="20"/>
              </w:rPr>
              <w:t>0.16</w:t>
            </w:r>
          </w:p>
        </w:tc>
        <w:tc>
          <w:tcPr>
            <w:tcW w:w="998" w:type="pct"/>
          </w:tcPr>
          <w:p w14:paraId="17ED9254" w14:textId="4D26DBC4" w:rsidR="00CA7FB9" w:rsidRPr="00CA7FB9" w:rsidRDefault="00484193" w:rsidP="009C6AB2">
            <w:pPr>
              <w:rPr>
                <w:rFonts w:cs="Times New Roman"/>
                <w:sz w:val="20"/>
                <w:szCs w:val="20"/>
              </w:rPr>
            </w:pPr>
            <w:r>
              <w:rPr>
                <w:rFonts w:cs="Times New Roman"/>
                <w:sz w:val="20"/>
                <w:szCs w:val="20"/>
              </w:rPr>
              <w:t>0.20</w:t>
            </w:r>
          </w:p>
        </w:tc>
        <w:tc>
          <w:tcPr>
            <w:tcW w:w="1004" w:type="pct"/>
          </w:tcPr>
          <w:p w14:paraId="1013521F" w14:textId="7DFA53C5" w:rsidR="00CA7FB9" w:rsidRPr="00CA7FB9" w:rsidRDefault="00484193" w:rsidP="009C6AB2">
            <w:pPr>
              <w:rPr>
                <w:rFonts w:cs="Times New Roman"/>
                <w:sz w:val="20"/>
                <w:szCs w:val="20"/>
              </w:rPr>
            </w:pPr>
            <w:r>
              <w:rPr>
                <w:rFonts w:cs="Times New Roman"/>
                <w:sz w:val="20"/>
                <w:szCs w:val="20"/>
              </w:rPr>
              <w:t>10</w:t>
            </w:r>
          </w:p>
        </w:tc>
      </w:tr>
    </w:tbl>
    <w:p w14:paraId="5BD30BE9" w14:textId="77777777" w:rsidR="00CA7FB9" w:rsidRDefault="00CA7FB9" w:rsidP="00484193">
      <w:pPr>
        <w:ind w:left="567" w:hanging="567"/>
        <w:jc w:val="both"/>
      </w:pPr>
    </w:p>
    <w:p w14:paraId="723462D1" w14:textId="77777777" w:rsidR="00484193" w:rsidRDefault="00484193" w:rsidP="00946B3F">
      <w:pPr>
        <w:pStyle w:val="REG-P0"/>
        <w:ind w:left="567" w:hanging="567"/>
      </w:pPr>
      <w:r w:rsidRPr="00484193">
        <w:t xml:space="preserve">Note: </w:t>
      </w:r>
    </w:p>
    <w:p w14:paraId="68080241" w14:textId="77777777" w:rsidR="00484193" w:rsidRDefault="00484193" w:rsidP="00946B3F">
      <w:pPr>
        <w:pStyle w:val="REG-P0"/>
        <w:ind w:left="567" w:hanging="567"/>
      </w:pPr>
      <w:r w:rsidRPr="00484193">
        <w:t xml:space="preserve">1. </w:t>
      </w:r>
      <w:r>
        <w:tab/>
      </w:r>
      <w:r w:rsidRPr="00484193">
        <w:rPr>
          <w:i/>
        </w:rPr>
        <w:t>f</w:t>
      </w:r>
      <w:r w:rsidRPr="00484193">
        <w:t xml:space="preserve"> as indicated in the frequency range column. </w:t>
      </w:r>
    </w:p>
    <w:p w14:paraId="608528A6" w14:textId="77777777" w:rsidR="00484193" w:rsidRDefault="00484193" w:rsidP="00946B3F">
      <w:pPr>
        <w:pStyle w:val="REG-P0"/>
        <w:ind w:left="567" w:hanging="567"/>
      </w:pPr>
      <w:r w:rsidRPr="00484193">
        <w:t xml:space="preserve">2. </w:t>
      </w:r>
      <w:r>
        <w:tab/>
      </w:r>
      <w:r w:rsidRPr="00484193">
        <w:t xml:space="preserve">Provided that basic restrictions are met and adverse indirect effects can be excluded, field strength values can be exceeded. </w:t>
      </w:r>
    </w:p>
    <w:p w14:paraId="3FD2CBC6" w14:textId="1EB0D110" w:rsidR="00484193" w:rsidRDefault="00484193" w:rsidP="00946B3F">
      <w:pPr>
        <w:pStyle w:val="REG-P0"/>
        <w:ind w:left="567" w:hanging="567"/>
      </w:pPr>
      <w:r w:rsidRPr="00484193">
        <w:t xml:space="preserve">3. </w:t>
      </w:r>
      <w:r>
        <w:tab/>
      </w:r>
      <w:r w:rsidRPr="00484193">
        <w:t xml:space="preserve">For frequencies between 100 kHz and 10 GHz, </w:t>
      </w:r>
      <w:r w:rsidRPr="00484193">
        <w:rPr>
          <w:i/>
        </w:rPr>
        <w:t>S</w:t>
      </w:r>
      <w:r w:rsidRPr="00484193">
        <w:t xml:space="preserve">eq, E2, H2, and B2 are to averaged over any 6-min period. </w:t>
      </w:r>
    </w:p>
    <w:p w14:paraId="005124CA" w14:textId="12E3DF4D" w:rsidR="00946B3F" w:rsidRDefault="00946B3F" w:rsidP="00946B3F">
      <w:pPr>
        <w:pStyle w:val="REG-Amend"/>
      </w:pPr>
      <w:r>
        <w:t xml:space="preserve">[The word “be” appears to be missing </w:t>
      </w:r>
      <w:r w:rsidR="00572ABF">
        <w:t xml:space="preserve">before the word </w:t>
      </w:r>
      <w:r>
        <w:t>“averaged”.]</w:t>
      </w:r>
    </w:p>
    <w:p w14:paraId="75D93976" w14:textId="77777777" w:rsidR="00484193" w:rsidRDefault="00484193" w:rsidP="00946B3F">
      <w:pPr>
        <w:pStyle w:val="REG-P0"/>
        <w:ind w:left="567" w:hanging="567"/>
      </w:pPr>
      <w:r w:rsidRPr="00484193">
        <w:t xml:space="preserve">4. </w:t>
      </w:r>
      <w:r>
        <w:tab/>
      </w:r>
      <w:r w:rsidRPr="00484193">
        <w:t xml:space="preserve">For peak values at frequencies up to 100 kHz see Table 4, note 3. </w:t>
      </w:r>
    </w:p>
    <w:p w14:paraId="7F11698C" w14:textId="77777777" w:rsidR="00484193" w:rsidRDefault="00484193" w:rsidP="00946B3F">
      <w:pPr>
        <w:pStyle w:val="REG-P0"/>
        <w:ind w:left="567" w:hanging="567"/>
      </w:pPr>
      <w:r w:rsidRPr="00484193">
        <w:t xml:space="preserve">5. </w:t>
      </w:r>
      <w:r>
        <w:tab/>
      </w:r>
      <w:r w:rsidRPr="00484193">
        <w:t xml:space="preserve">For peak values at frequencies exceeding 100 kHz see Figs. 1 and 2. Between 100 kHz and 10 MHz, peak values for the field strengths are obtained by interpolation from the 1.5-fold peak at 100 kHz to the 32-fold peak at 10 MHz. For frequencies exceeding 10 MHz it is suggested that the peak equivalent plane wave power density, as averaged over the pulse width does not exceed 1,000 times the </w:t>
      </w:r>
      <w:r w:rsidRPr="00484193">
        <w:rPr>
          <w:i/>
        </w:rPr>
        <w:t>S</w:t>
      </w:r>
      <w:r w:rsidRPr="00484193">
        <w:t xml:space="preserve">eq restrictions, or that the field strength does not exceed 32 times the field strength exposure levels given in the table. </w:t>
      </w:r>
    </w:p>
    <w:p w14:paraId="01224FB7" w14:textId="77777777" w:rsidR="00484193" w:rsidRDefault="00484193" w:rsidP="00946B3F">
      <w:pPr>
        <w:pStyle w:val="REG-P0"/>
        <w:ind w:left="567" w:hanging="567"/>
      </w:pPr>
      <w:r w:rsidRPr="00484193">
        <w:t xml:space="preserve">6. </w:t>
      </w:r>
      <w:r>
        <w:tab/>
      </w:r>
      <w:r w:rsidRPr="00484193">
        <w:t xml:space="preserve">For frequencies exceeding 10 GHz, </w:t>
      </w:r>
      <w:r w:rsidRPr="00484193">
        <w:rPr>
          <w:i/>
        </w:rPr>
        <w:t>S</w:t>
      </w:r>
      <w:r w:rsidRPr="00484193">
        <w:t>eq, E2, H2, and B2 are to be averaged over any 68/</w:t>
      </w:r>
      <w:r w:rsidRPr="00484193">
        <w:rPr>
          <w:i/>
        </w:rPr>
        <w:t xml:space="preserve">f </w:t>
      </w:r>
      <w:r w:rsidRPr="00484193">
        <w:t>1.05-min period (</w:t>
      </w:r>
      <w:r w:rsidRPr="00484193">
        <w:rPr>
          <w:i/>
        </w:rPr>
        <w:t xml:space="preserve">f </w:t>
      </w:r>
      <w:r w:rsidRPr="00484193">
        <w:t xml:space="preserve">in GHz). </w:t>
      </w:r>
    </w:p>
    <w:p w14:paraId="62594A35" w14:textId="4FE55D0E" w:rsidR="00484193" w:rsidRDefault="00484193" w:rsidP="00946B3F">
      <w:pPr>
        <w:pStyle w:val="REG-P0"/>
        <w:ind w:left="567" w:hanging="567"/>
      </w:pPr>
      <w:r w:rsidRPr="00484193">
        <w:t xml:space="preserve">7. </w:t>
      </w:r>
      <w:r>
        <w:tab/>
      </w:r>
      <w:r w:rsidRPr="00484193">
        <w:t>No E-field value is provided for frequencies,</w:t>
      </w:r>
      <w:r w:rsidR="00796F08">
        <w:t xml:space="preserve"> </w:t>
      </w:r>
      <w:r w:rsidRPr="00484193">
        <w:t>1 Hz, which are effectively static electric fields. Perception of surface electric charges will not occur at field strengths less than 25 kVm21. Spark discharges causing stress or annoyance should be avoided</w:t>
      </w:r>
      <w:r w:rsidR="00946B3F">
        <w:t>.</w:t>
      </w:r>
    </w:p>
    <w:p w14:paraId="74FD72FB" w14:textId="2DC35F2A" w:rsidR="009C6AB2" w:rsidRDefault="009C6AB2" w:rsidP="00484193">
      <w:pPr>
        <w:ind w:left="567" w:hanging="567"/>
        <w:jc w:val="both"/>
      </w:pPr>
    </w:p>
    <w:p w14:paraId="3B2692E5" w14:textId="77777777" w:rsidR="00200F1B" w:rsidRDefault="00200F1B" w:rsidP="00484193">
      <w:pPr>
        <w:ind w:left="567" w:hanging="567"/>
        <w:jc w:val="both"/>
      </w:pPr>
    </w:p>
    <w:p w14:paraId="3F4CDF6A" w14:textId="37993F11" w:rsidR="009C6AB2" w:rsidRPr="00796F08" w:rsidRDefault="009C6AB2" w:rsidP="00796F08">
      <w:pPr>
        <w:pStyle w:val="REG-P0"/>
        <w:jc w:val="center"/>
        <w:rPr>
          <w:b/>
        </w:rPr>
      </w:pPr>
      <w:r w:rsidRPr="00796F08">
        <w:rPr>
          <w:b/>
        </w:rPr>
        <w:t>Table 3</w:t>
      </w:r>
    </w:p>
    <w:p w14:paraId="0EC0DBE0" w14:textId="48EE5848" w:rsidR="009C6AB2" w:rsidRPr="00796F08" w:rsidRDefault="009C6AB2" w:rsidP="00796F08">
      <w:pPr>
        <w:pStyle w:val="REG-P0"/>
        <w:jc w:val="center"/>
        <w:rPr>
          <w:b/>
        </w:rPr>
      </w:pPr>
      <w:r w:rsidRPr="00796F08">
        <w:rPr>
          <w:b/>
        </w:rPr>
        <w:t xml:space="preserve">Basic Restriction Levels </w:t>
      </w:r>
      <w:r w:rsidR="005A6CEE" w:rsidRPr="00796F08">
        <w:rPr>
          <w:b/>
        </w:rPr>
        <w:t>-</w:t>
      </w:r>
      <w:r w:rsidRPr="00796F08">
        <w:rPr>
          <w:b/>
        </w:rPr>
        <w:t xml:space="preserve"> Occupational Exposure</w:t>
      </w:r>
    </w:p>
    <w:p w14:paraId="3A30F302" w14:textId="58190BAB" w:rsidR="009C6AB2" w:rsidRDefault="009C6AB2" w:rsidP="00796F08">
      <w:pPr>
        <w:pStyle w:val="REG-P0"/>
        <w:jc w:val="center"/>
      </w:pPr>
      <w:r w:rsidRPr="009C6AB2">
        <w:t xml:space="preserve">(Basic restrictions for time varying electric and magnetic fields for frequencies up to 10 GHz </w:t>
      </w:r>
      <w:r w:rsidR="005A6CEE">
        <w:t>-</w:t>
      </w:r>
      <w:r w:rsidRPr="009C6AB2">
        <w:t xml:space="preserve"> Occupational Exposure).</w:t>
      </w:r>
    </w:p>
    <w:p w14:paraId="02A506E4" w14:textId="77777777" w:rsidR="009C6AB2" w:rsidRDefault="009C6AB2" w:rsidP="009C6AB2">
      <w:pPr>
        <w:ind w:left="567" w:hanging="567"/>
        <w:jc w:val="center"/>
      </w:pPr>
    </w:p>
    <w:tbl>
      <w:tblPr>
        <w:tblStyle w:val="TableGrid"/>
        <w:tblW w:w="8500" w:type="dxa"/>
        <w:tblLook w:val="04A0" w:firstRow="1" w:lastRow="0" w:firstColumn="1" w:lastColumn="0" w:noHBand="0" w:noVBand="1"/>
      </w:tblPr>
      <w:tblGrid>
        <w:gridCol w:w="1432"/>
        <w:gridCol w:w="1824"/>
        <w:gridCol w:w="1559"/>
        <w:gridCol w:w="1228"/>
        <w:gridCol w:w="1228"/>
        <w:gridCol w:w="1229"/>
      </w:tblGrid>
      <w:tr w:rsidR="008B47C6" w:rsidRPr="009C6AB2" w14:paraId="35E26E86" w14:textId="77777777" w:rsidTr="008B47C6">
        <w:tc>
          <w:tcPr>
            <w:tcW w:w="1432" w:type="dxa"/>
            <w:vAlign w:val="center"/>
          </w:tcPr>
          <w:p w14:paraId="172C4198" w14:textId="4D674E5F" w:rsidR="009C6AB2" w:rsidRPr="009C6AB2" w:rsidRDefault="009C6AB2" w:rsidP="005111EF">
            <w:pPr>
              <w:jc w:val="center"/>
              <w:rPr>
                <w:sz w:val="20"/>
                <w:szCs w:val="20"/>
              </w:rPr>
            </w:pPr>
            <w:r>
              <w:rPr>
                <w:sz w:val="20"/>
                <w:szCs w:val="20"/>
              </w:rPr>
              <w:t>Exposure characteristics</w:t>
            </w:r>
          </w:p>
        </w:tc>
        <w:tc>
          <w:tcPr>
            <w:tcW w:w="1824" w:type="dxa"/>
            <w:vAlign w:val="center"/>
          </w:tcPr>
          <w:p w14:paraId="17DD0FE8" w14:textId="0F368082" w:rsidR="009C6AB2" w:rsidRPr="009C6AB2" w:rsidRDefault="009C6AB2" w:rsidP="005111EF">
            <w:pPr>
              <w:jc w:val="center"/>
              <w:rPr>
                <w:sz w:val="20"/>
                <w:szCs w:val="20"/>
              </w:rPr>
            </w:pPr>
            <w:r>
              <w:rPr>
                <w:sz w:val="20"/>
                <w:szCs w:val="20"/>
              </w:rPr>
              <w:t>Frequency range</w:t>
            </w:r>
          </w:p>
        </w:tc>
        <w:tc>
          <w:tcPr>
            <w:tcW w:w="1559" w:type="dxa"/>
            <w:vAlign w:val="center"/>
          </w:tcPr>
          <w:p w14:paraId="16B7E6CA" w14:textId="2441EFE7" w:rsidR="009C6AB2" w:rsidRPr="009C6AB2" w:rsidRDefault="009C6AB2" w:rsidP="005111EF">
            <w:pPr>
              <w:jc w:val="center"/>
              <w:rPr>
                <w:sz w:val="20"/>
                <w:szCs w:val="20"/>
              </w:rPr>
            </w:pPr>
            <w:r>
              <w:rPr>
                <w:sz w:val="20"/>
                <w:szCs w:val="20"/>
              </w:rPr>
              <w:t>Current density for head and trunk (mA m</w:t>
            </w:r>
            <w:r>
              <w:rPr>
                <w:sz w:val="20"/>
                <w:szCs w:val="20"/>
                <w:vertAlign w:val="superscript"/>
              </w:rPr>
              <w:t>-2</w:t>
            </w:r>
            <w:r>
              <w:rPr>
                <w:sz w:val="20"/>
                <w:szCs w:val="20"/>
              </w:rPr>
              <w:t>) (rms)</w:t>
            </w:r>
          </w:p>
        </w:tc>
        <w:tc>
          <w:tcPr>
            <w:tcW w:w="1228" w:type="dxa"/>
            <w:vAlign w:val="center"/>
          </w:tcPr>
          <w:p w14:paraId="281D8D01" w14:textId="3D639306" w:rsidR="009C6AB2" w:rsidRPr="009C6AB2" w:rsidRDefault="009C6AB2" w:rsidP="005111EF">
            <w:pPr>
              <w:jc w:val="center"/>
              <w:rPr>
                <w:sz w:val="20"/>
                <w:szCs w:val="20"/>
              </w:rPr>
            </w:pPr>
            <w:r>
              <w:rPr>
                <w:sz w:val="20"/>
                <w:szCs w:val="20"/>
              </w:rPr>
              <w:t xml:space="preserve">Whole-body average SAR </w:t>
            </w:r>
            <w:r w:rsidR="00796F08">
              <w:rPr>
                <w:sz w:val="20"/>
                <w:szCs w:val="20"/>
              </w:rPr>
              <w:br/>
            </w:r>
            <w:r>
              <w:rPr>
                <w:sz w:val="20"/>
                <w:szCs w:val="20"/>
              </w:rPr>
              <w:t>(W kg</w:t>
            </w:r>
            <w:r>
              <w:rPr>
                <w:sz w:val="20"/>
                <w:szCs w:val="20"/>
                <w:vertAlign w:val="superscript"/>
              </w:rPr>
              <w:t>-1</w:t>
            </w:r>
            <w:r>
              <w:rPr>
                <w:sz w:val="20"/>
                <w:szCs w:val="20"/>
              </w:rPr>
              <w:t>)</w:t>
            </w:r>
          </w:p>
        </w:tc>
        <w:tc>
          <w:tcPr>
            <w:tcW w:w="1228" w:type="dxa"/>
            <w:vAlign w:val="center"/>
          </w:tcPr>
          <w:p w14:paraId="10B72CFE" w14:textId="76144BA1" w:rsidR="009C6AB2" w:rsidRPr="009C6AB2" w:rsidRDefault="009C6AB2" w:rsidP="005111EF">
            <w:pPr>
              <w:jc w:val="center"/>
              <w:rPr>
                <w:sz w:val="20"/>
                <w:szCs w:val="20"/>
              </w:rPr>
            </w:pPr>
            <w:r>
              <w:rPr>
                <w:sz w:val="20"/>
                <w:szCs w:val="20"/>
              </w:rPr>
              <w:t xml:space="preserve">Localized SAR (head and trunk) </w:t>
            </w:r>
            <w:r w:rsidR="00796F08">
              <w:rPr>
                <w:sz w:val="20"/>
                <w:szCs w:val="20"/>
              </w:rPr>
              <w:br/>
            </w:r>
            <w:r>
              <w:rPr>
                <w:sz w:val="20"/>
                <w:szCs w:val="20"/>
              </w:rPr>
              <w:t>(W kg</w:t>
            </w:r>
            <w:r>
              <w:rPr>
                <w:sz w:val="20"/>
                <w:szCs w:val="20"/>
                <w:vertAlign w:val="superscript"/>
              </w:rPr>
              <w:t>-1</w:t>
            </w:r>
            <w:r>
              <w:rPr>
                <w:sz w:val="20"/>
                <w:szCs w:val="20"/>
              </w:rPr>
              <w:t>)</w:t>
            </w:r>
          </w:p>
        </w:tc>
        <w:tc>
          <w:tcPr>
            <w:tcW w:w="1229" w:type="dxa"/>
            <w:vAlign w:val="center"/>
          </w:tcPr>
          <w:p w14:paraId="5E45C6A4" w14:textId="4F534F25" w:rsidR="009C6AB2" w:rsidRPr="009C6AB2" w:rsidRDefault="009C6AB2" w:rsidP="005111EF">
            <w:pPr>
              <w:jc w:val="center"/>
              <w:rPr>
                <w:sz w:val="20"/>
                <w:szCs w:val="20"/>
              </w:rPr>
            </w:pPr>
            <w:r w:rsidRPr="009C6AB2">
              <w:rPr>
                <w:sz w:val="20"/>
                <w:szCs w:val="20"/>
              </w:rPr>
              <w:t xml:space="preserve">Localized SAR (limbs) </w:t>
            </w:r>
            <w:r w:rsidR="00796F08">
              <w:rPr>
                <w:sz w:val="20"/>
                <w:szCs w:val="20"/>
              </w:rPr>
              <w:br/>
            </w:r>
            <w:r w:rsidRPr="009C6AB2">
              <w:rPr>
                <w:sz w:val="20"/>
                <w:szCs w:val="20"/>
              </w:rPr>
              <w:t>(W kg</w:t>
            </w:r>
            <w:r w:rsidRPr="009C6AB2">
              <w:rPr>
                <w:sz w:val="20"/>
                <w:szCs w:val="20"/>
                <w:vertAlign w:val="superscript"/>
              </w:rPr>
              <w:t>-1</w:t>
            </w:r>
            <w:r w:rsidRPr="009C6AB2">
              <w:rPr>
                <w:sz w:val="20"/>
                <w:szCs w:val="20"/>
              </w:rPr>
              <w:t>)</w:t>
            </w:r>
          </w:p>
        </w:tc>
      </w:tr>
      <w:tr w:rsidR="008B47C6" w:rsidRPr="009C6AB2" w14:paraId="3CD7D172" w14:textId="77777777" w:rsidTr="008B47C6">
        <w:tc>
          <w:tcPr>
            <w:tcW w:w="1432" w:type="dxa"/>
            <w:vMerge w:val="restart"/>
          </w:tcPr>
          <w:p w14:paraId="4AB6E891" w14:textId="7E459FE6" w:rsidR="009C6AB2" w:rsidRPr="009C6AB2" w:rsidRDefault="009C6AB2" w:rsidP="009C6AB2">
            <w:pPr>
              <w:rPr>
                <w:sz w:val="20"/>
                <w:szCs w:val="20"/>
              </w:rPr>
            </w:pPr>
            <w:r>
              <w:rPr>
                <w:sz w:val="20"/>
                <w:szCs w:val="20"/>
              </w:rPr>
              <w:t>Occupational exposure</w:t>
            </w:r>
          </w:p>
        </w:tc>
        <w:tc>
          <w:tcPr>
            <w:tcW w:w="1824" w:type="dxa"/>
          </w:tcPr>
          <w:p w14:paraId="6604CD01" w14:textId="45EDC09D" w:rsidR="009C6AB2" w:rsidRPr="009C6AB2" w:rsidRDefault="009C6AB2" w:rsidP="009C6AB2">
            <w:pPr>
              <w:rPr>
                <w:sz w:val="20"/>
                <w:szCs w:val="20"/>
              </w:rPr>
            </w:pPr>
            <w:r>
              <w:rPr>
                <w:sz w:val="20"/>
                <w:szCs w:val="20"/>
              </w:rPr>
              <w:t>Upto 1 Hz</w:t>
            </w:r>
          </w:p>
        </w:tc>
        <w:tc>
          <w:tcPr>
            <w:tcW w:w="1559" w:type="dxa"/>
          </w:tcPr>
          <w:p w14:paraId="61398065" w14:textId="296DFBBA" w:rsidR="009C6AB2" w:rsidRPr="009C6AB2" w:rsidRDefault="009C6AB2" w:rsidP="009C6AB2">
            <w:pPr>
              <w:rPr>
                <w:sz w:val="20"/>
                <w:szCs w:val="20"/>
              </w:rPr>
            </w:pPr>
            <w:r>
              <w:rPr>
                <w:sz w:val="20"/>
                <w:szCs w:val="20"/>
              </w:rPr>
              <w:t>40</w:t>
            </w:r>
          </w:p>
        </w:tc>
        <w:tc>
          <w:tcPr>
            <w:tcW w:w="1228" w:type="dxa"/>
          </w:tcPr>
          <w:p w14:paraId="75FF8525" w14:textId="031B6861" w:rsidR="009C6AB2" w:rsidRPr="009C6AB2" w:rsidRDefault="009C6AB2" w:rsidP="009C6AB2">
            <w:pPr>
              <w:rPr>
                <w:sz w:val="20"/>
                <w:szCs w:val="20"/>
              </w:rPr>
            </w:pPr>
            <w:r>
              <w:rPr>
                <w:sz w:val="20"/>
                <w:szCs w:val="20"/>
              </w:rPr>
              <w:t>-</w:t>
            </w:r>
          </w:p>
        </w:tc>
        <w:tc>
          <w:tcPr>
            <w:tcW w:w="1228" w:type="dxa"/>
          </w:tcPr>
          <w:p w14:paraId="66A3D034" w14:textId="24001353" w:rsidR="009C6AB2" w:rsidRPr="009C6AB2" w:rsidRDefault="009C6AB2" w:rsidP="009C6AB2">
            <w:pPr>
              <w:rPr>
                <w:sz w:val="20"/>
                <w:szCs w:val="20"/>
              </w:rPr>
            </w:pPr>
            <w:r>
              <w:rPr>
                <w:sz w:val="20"/>
                <w:szCs w:val="20"/>
              </w:rPr>
              <w:t>-</w:t>
            </w:r>
          </w:p>
        </w:tc>
        <w:tc>
          <w:tcPr>
            <w:tcW w:w="1229" w:type="dxa"/>
          </w:tcPr>
          <w:p w14:paraId="35774D28" w14:textId="64F1D4D5" w:rsidR="009C6AB2" w:rsidRPr="009C6AB2" w:rsidRDefault="009C6AB2" w:rsidP="009C6AB2">
            <w:pPr>
              <w:rPr>
                <w:sz w:val="20"/>
                <w:szCs w:val="20"/>
              </w:rPr>
            </w:pPr>
            <w:r>
              <w:rPr>
                <w:sz w:val="20"/>
                <w:szCs w:val="20"/>
              </w:rPr>
              <w:t>-</w:t>
            </w:r>
          </w:p>
        </w:tc>
      </w:tr>
      <w:tr w:rsidR="008B47C6" w:rsidRPr="009C6AB2" w14:paraId="261CA854" w14:textId="77777777" w:rsidTr="008B47C6">
        <w:tc>
          <w:tcPr>
            <w:tcW w:w="1432" w:type="dxa"/>
            <w:vMerge/>
          </w:tcPr>
          <w:p w14:paraId="3E8ADB0E" w14:textId="77777777" w:rsidR="009C6AB2" w:rsidRPr="009C6AB2" w:rsidRDefault="009C6AB2" w:rsidP="009C6AB2">
            <w:pPr>
              <w:rPr>
                <w:sz w:val="20"/>
                <w:szCs w:val="20"/>
              </w:rPr>
            </w:pPr>
          </w:p>
        </w:tc>
        <w:tc>
          <w:tcPr>
            <w:tcW w:w="1824" w:type="dxa"/>
          </w:tcPr>
          <w:p w14:paraId="70027D5A" w14:textId="75B2510D" w:rsidR="009C6AB2" w:rsidRPr="009C6AB2" w:rsidRDefault="009C6AB2" w:rsidP="009C6AB2">
            <w:pPr>
              <w:rPr>
                <w:sz w:val="20"/>
                <w:szCs w:val="20"/>
              </w:rPr>
            </w:pPr>
            <w:r>
              <w:rPr>
                <w:sz w:val="20"/>
                <w:szCs w:val="20"/>
              </w:rPr>
              <w:t>1</w:t>
            </w:r>
            <w:r w:rsidR="006A4842">
              <w:rPr>
                <w:sz w:val="20"/>
                <w:szCs w:val="20"/>
              </w:rPr>
              <w:t>–</w:t>
            </w:r>
            <w:r>
              <w:rPr>
                <w:sz w:val="20"/>
                <w:szCs w:val="20"/>
              </w:rPr>
              <w:t>4 Hz</w:t>
            </w:r>
          </w:p>
        </w:tc>
        <w:tc>
          <w:tcPr>
            <w:tcW w:w="1559" w:type="dxa"/>
          </w:tcPr>
          <w:p w14:paraId="2A8FDAA9" w14:textId="01C7C42D" w:rsidR="009C6AB2" w:rsidRPr="009C6AB2" w:rsidRDefault="009C6AB2" w:rsidP="009C6AB2">
            <w:pPr>
              <w:rPr>
                <w:i/>
                <w:sz w:val="20"/>
                <w:szCs w:val="20"/>
              </w:rPr>
            </w:pPr>
            <w:r>
              <w:rPr>
                <w:sz w:val="20"/>
                <w:szCs w:val="20"/>
              </w:rPr>
              <w:t>40/</w:t>
            </w:r>
            <w:r>
              <w:rPr>
                <w:i/>
                <w:sz w:val="20"/>
                <w:szCs w:val="20"/>
              </w:rPr>
              <w:t>f</w:t>
            </w:r>
          </w:p>
        </w:tc>
        <w:tc>
          <w:tcPr>
            <w:tcW w:w="1228" w:type="dxa"/>
          </w:tcPr>
          <w:p w14:paraId="6BC44DB3" w14:textId="4D800683" w:rsidR="009C6AB2" w:rsidRPr="009C6AB2" w:rsidRDefault="009C6AB2" w:rsidP="009C6AB2">
            <w:pPr>
              <w:rPr>
                <w:sz w:val="20"/>
                <w:szCs w:val="20"/>
              </w:rPr>
            </w:pPr>
            <w:r>
              <w:rPr>
                <w:sz w:val="20"/>
                <w:szCs w:val="20"/>
              </w:rPr>
              <w:t>-</w:t>
            </w:r>
          </w:p>
        </w:tc>
        <w:tc>
          <w:tcPr>
            <w:tcW w:w="1228" w:type="dxa"/>
          </w:tcPr>
          <w:p w14:paraId="64E5B0BB" w14:textId="2D3D4EAD" w:rsidR="009C6AB2" w:rsidRPr="009C6AB2" w:rsidRDefault="009C6AB2" w:rsidP="009C6AB2">
            <w:pPr>
              <w:rPr>
                <w:sz w:val="20"/>
                <w:szCs w:val="20"/>
              </w:rPr>
            </w:pPr>
            <w:r>
              <w:rPr>
                <w:sz w:val="20"/>
                <w:szCs w:val="20"/>
              </w:rPr>
              <w:t>-</w:t>
            </w:r>
          </w:p>
        </w:tc>
        <w:tc>
          <w:tcPr>
            <w:tcW w:w="1229" w:type="dxa"/>
          </w:tcPr>
          <w:p w14:paraId="5AB9D491" w14:textId="2C7EDAFA" w:rsidR="009C6AB2" w:rsidRPr="009C6AB2" w:rsidRDefault="009C6AB2" w:rsidP="009C6AB2">
            <w:pPr>
              <w:rPr>
                <w:sz w:val="20"/>
                <w:szCs w:val="20"/>
              </w:rPr>
            </w:pPr>
            <w:r>
              <w:rPr>
                <w:sz w:val="20"/>
                <w:szCs w:val="20"/>
              </w:rPr>
              <w:t>-</w:t>
            </w:r>
          </w:p>
        </w:tc>
      </w:tr>
      <w:tr w:rsidR="008B47C6" w:rsidRPr="009C6AB2" w14:paraId="1144F303" w14:textId="77777777" w:rsidTr="008B47C6">
        <w:tc>
          <w:tcPr>
            <w:tcW w:w="1432" w:type="dxa"/>
            <w:vMerge/>
          </w:tcPr>
          <w:p w14:paraId="34725657" w14:textId="77777777" w:rsidR="009C6AB2" w:rsidRPr="009C6AB2" w:rsidRDefault="009C6AB2" w:rsidP="009C6AB2">
            <w:pPr>
              <w:rPr>
                <w:sz w:val="20"/>
                <w:szCs w:val="20"/>
              </w:rPr>
            </w:pPr>
          </w:p>
        </w:tc>
        <w:tc>
          <w:tcPr>
            <w:tcW w:w="1824" w:type="dxa"/>
          </w:tcPr>
          <w:p w14:paraId="21670772" w14:textId="1DE1932B" w:rsidR="009C6AB2" w:rsidRPr="009C6AB2" w:rsidRDefault="009C6AB2" w:rsidP="009C6AB2">
            <w:pPr>
              <w:rPr>
                <w:sz w:val="20"/>
                <w:szCs w:val="20"/>
              </w:rPr>
            </w:pPr>
            <w:r>
              <w:rPr>
                <w:sz w:val="20"/>
                <w:szCs w:val="20"/>
              </w:rPr>
              <w:t>4 Hz</w:t>
            </w:r>
            <w:r w:rsidR="006A4842">
              <w:rPr>
                <w:sz w:val="20"/>
                <w:szCs w:val="20"/>
              </w:rPr>
              <w:t>–</w:t>
            </w:r>
            <w:r>
              <w:rPr>
                <w:sz w:val="20"/>
                <w:szCs w:val="20"/>
              </w:rPr>
              <w:t>1 kHz</w:t>
            </w:r>
          </w:p>
        </w:tc>
        <w:tc>
          <w:tcPr>
            <w:tcW w:w="1559" w:type="dxa"/>
          </w:tcPr>
          <w:p w14:paraId="089570F7" w14:textId="67BDA286" w:rsidR="009C6AB2" w:rsidRPr="009C6AB2" w:rsidRDefault="009C6AB2" w:rsidP="009C6AB2">
            <w:pPr>
              <w:rPr>
                <w:sz w:val="20"/>
                <w:szCs w:val="20"/>
              </w:rPr>
            </w:pPr>
            <w:r>
              <w:rPr>
                <w:sz w:val="20"/>
                <w:szCs w:val="20"/>
              </w:rPr>
              <w:t>10</w:t>
            </w:r>
          </w:p>
        </w:tc>
        <w:tc>
          <w:tcPr>
            <w:tcW w:w="1228" w:type="dxa"/>
          </w:tcPr>
          <w:p w14:paraId="681B7152" w14:textId="4386AF0D" w:rsidR="009C6AB2" w:rsidRPr="009C6AB2" w:rsidRDefault="009C6AB2" w:rsidP="009C6AB2">
            <w:pPr>
              <w:rPr>
                <w:sz w:val="20"/>
                <w:szCs w:val="20"/>
              </w:rPr>
            </w:pPr>
            <w:r>
              <w:rPr>
                <w:sz w:val="20"/>
                <w:szCs w:val="20"/>
              </w:rPr>
              <w:t>-</w:t>
            </w:r>
          </w:p>
        </w:tc>
        <w:tc>
          <w:tcPr>
            <w:tcW w:w="1228" w:type="dxa"/>
          </w:tcPr>
          <w:p w14:paraId="7FD73C77" w14:textId="1CB37FDF" w:rsidR="009C6AB2" w:rsidRPr="009C6AB2" w:rsidRDefault="009C6AB2" w:rsidP="009C6AB2">
            <w:pPr>
              <w:rPr>
                <w:sz w:val="20"/>
                <w:szCs w:val="20"/>
              </w:rPr>
            </w:pPr>
            <w:r>
              <w:rPr>
                <w:sz w:val="20"/>
                <w:szCs w:val="20"/>
              </w:rPr>
              <w:t>-</w:t>
            </w:r>
          </w:p>
        </w:tc>
        <w:tc>
          <w:tcPr>
            <w:tcW w:w="1229" w:type="dxa"/>
          </w:tcPr>
          <w:p w14:paraId="7F378DB9" w14:textId="19A37C5E" w:rsidR="009C6AB2" w:rsidRPr="009C6AB2" w:rsidRDefault="009C6AB2" w:rsidP="009C6AB2">
            <w:pPr>
              <w:rPr>
                <w:sz w:val="20"/>
                <w:szCs w:val="20"/>
              </w:rPr>
            </w:pPr>
            <w:r>
              <w:rPr>
                <w:sz w:val="20"/>
                <w:szCs w:val="20"/>
              </w:rPr>
              <w:t>-</w:t>
            </w:r>
          </w:p>
        </w:tc>
      </w:tr>
      <w:tr w:rsidR="008B47C6" w:rsidRPr="009C6AB2" w14:paraId="64789E8E" w14:textId="77777777" w:rsidTr="008B47C6">
        <w:tc>
          <w:tcPr>
            <w:tcW w:w="1432" w:type="dxa"/>
            <w:vMerge/>
          </w:tcPr>
          <w:p w14:paraId="1D2B76DC" w14:textId="77777777" w:rsidR="009C6AB2" w:rsidRPr="009C6AB2" w:rsidRDefault="009C6AB2" w:rsidP="009C6AB2">
            <w:pPr>
              <w:rPr>
                <w:sz w:val="20"/>
                <w:szCs w:val="20"/>
              </w:rPr>
            </w:pPr>
          </w:p>
        </w:tc>
        <w:tc>
          <w:tcPr>
            <w:tcW w:w="1824" w:type="dxa"/>
          </w:tcPr>
          <w:p w14:paraId="277B9550" w14:textId="68A9264E" w:rsidR="009C6AB2" w:rsidRPr="009C6AB2" w:rsidRDefault="009C6AB2" w:rsidP="009C6AB2">
            <w:pPr>
              <w:rPr>
                <w:sz w:val="20"/>
                <w:szCs w:val="20"/>
              </w:rPr>
            </w:pPr>
            <w:r>
              <w:rPr>
                <w:sz w:val="20"/>
                <w:szCs w:val="20"/>
              </w:rPr>
              <w:t>1</w:t>
            </w:r>
            <w:r w:rsidR="006A4842">
              <w:rPr>
                <w:sz w:val="20"/>
                <w:szCs w:val="20"/>
              </w:rPr>
              <w:t>–</w:t>
            </w:r>
            <w:r>
              <w:rPr>
                <w:sz w:val="20"/>
                <w:szCs w:val="20"/>
              </w:rPr>
              <w:t>100 kHz</w:t>
            </w:r>
          </w:p>
        </w:tc>
        <w:tc>
          <w:tcPr>
            <w:tcW w:w="1559" w:type="dxa"/>
          </w:tcPr>
          <w:p w14:paraId="4B1BEB2A" w14:textId="307B6A5B" w:rsidR="009C6AB2" w:rsidRPr="009C6AB2" w:rsidRDefault="009C6AB2" w:rsidP="009C6AB2">
            <w:pPr>
              <w:rPr>
                <w:sz w:val="20"/>
                <w:szCs w:val="20"/>
              </w:rPr>
            </w:pPr>
            <w:r>
              <w:rPr>
                <w:i/>
                <w:sz w:val="20"/>
                <w:szCs w:val="20"/>
              </w:rPr>
              <w:t>f</w:t>
            </w:r>
            <w:r>
              <w:rPr>
                <w:sz w:val="20"/>
                <w:szCs w:val="20"/>
              </w:rPr>
              <w:t>/100</w:t>
            </w:r>
          </w:p>
        </w:tc>
        <w:tc>
          <w:tcPr>
            <w:tcW w:w="1228" w:type="dxa"/>
          </w:tcPr>
          <w:p w14:paraId="09198094" w14:textId="20F65FF0" w:rsidR="009C6AB2" w:rsidRPr="009C6AB2" w:rsidRDefault="009C6AB2" w:rsidP="009C6AB2">
            <w:pPr>
              <w:rPr>
                <w:sz w:val="20"/>
                <w:szCs w:val="20"/>
              </w:rPr>
            </w:pPr>
            <w:r>
              <w:rPr>
                <w:sz w:val="20"/>
                <w:szCs w:val="20"/>
              </w:rPr>
              <w:t>-</w:t>
            </w:r>
          </w:p>
        </w:tc>
        <w:tc>
          <w:tcPr>
            <w:tcW w:w="1228" w:type="dxa"/>
          </w:tcPr>
          <w:p w14:paraId="32666AD5" w14:textId="48A929C0" w:rsidR="009C6AB2" w:rsidRPr="009C6AB2" w:rsidRDefault="009C6AB2" w:rsidP="009C6AB2">
            <w:pPr>
              <w:rPr>
                <w:sz w:val="20"/>
                <w:szCs w:val="20"/>
              </w:rPr>
            </w:pPr>
            <w:r>
              <w:rPr>
                <w:sz w:val="20"/>
                <w:szCs w:val="20"/>
              </w:rPr>
              <w:t>-</w:t>
            </w:r>
          </w:p>
        </w:tc>
        <w:tc>
          <w:tcPr>
            <w:tcW w:w="1229" w:type="dxa"/>
          </w:tcPr>
          <w:p w14:paraId="1E1D48A5" w14:textId="2FE6E9EE" w:rsidR="009C6AB2" w:rsidRPr="009C6AB2" w:rsidRDefault="009C6AB2" w:rsidP="009C6AB2">
            <w:pPr>
              <w:rPr>
                <w:sz w:val="20"/>
                <w:szCs w:val="20"/>
              </w:rPr>
            </w:pPr>
            <w:r>
              <w:rPr>
                <w:sz w:val="20"/>
                <w:szCs w:val="20"/>
              </w:rPr>
              <w:t>-</w:t>
            </w:r>
          </w:p>
        </w:tc>
      </w:tr>
      <w:tr w:rsidR="008B47C6" w:rsidRPr="009C6AB2" w14:paraId="606D0B0D" w14:textId="77777777" w:rsidTr="008B47C6">
        <w:tc>
          <w:tcPr>
            <w:tcW w:w="1432" w:type="dxa"/>
            <w:vMerge/>
          </w:tcPr>
          <w:p w14:paraId="0267ABC5" w14:textId="77777777" w:rsidR="009C6AB2" w:rsidRPr="009C6AB2" w:rsidRDefault="009C6AB2" w:rsidP="009C6AB2">
            <w:pPr>
              <w:rPr>
                <w:sz w:val="20"/>
                <w:szCs w:val="20"/>
              </w:rPr>
            </w:pPr>
          </w:p>
        </w:tc>
        <w:tc>
          <w:tcPr>
            <w:tcW w:w="1824" w:type="dxa"/>
          </w:tcPr>
          <w:p w14:paraId="5E35538C" w14:textId="1E7DD06D" w:rsidR="009C6AB2" w:rsidRPr="009C6AB2" w:rsidRDefault="009C6AB2" w:rsidP="008B47C6">
            <w:pPr>
              <w:rPr>
                <w:sz w:val="20"/>
                <w:szCs w:val="20"/>
              </w:rPr>
            </w:pPr>
            <w:r>
              <w:rPr>
                <w:sz w:val="20"/>
                <w:szCs w:val="20"/>
              </w:rPr>
              <w:t>100 kHz</w:t>
            </w:r>
            <w:r w:rsidR="006A4842">
              <w:rPr>
                <w:sz w:val="20"/>
                <w:szCs w:val="20"/>
              </w:rPr>
              <w:t>–</w:t>
            </w:r>
            <w:r w:rsidR="008B47C6">
              <w:rPr>
                <w:sz w:val="20"/>
                <w:szCs w:val="20"/>
              </w:rPr>
              <w:t>1</w:t>
            </w:r>
            <w:r>
              <w:rPr>
                <w:sz w:val="20"/>
                <w:szCs w:val="20"/>
              </w:rPr>
              <w:t>0 MHz</w:t>
            </w:r>
          </w:p>
        </w:tc>
        <w:tc>
          <w:tcPr>
            <w:tcW w:w="1559" w:type="dxa"/>
          </w:tcPr>
          <w:p w14:paraId="3ED2F76E" w14:textId="7A03E955" w:rsidR="009C6AB2" w:rsidRPr="009C6AB2" w:rsidRDefault="009C6AB2" w:rsidP="009C6AB2">
            <w:pPr>
              <w:rPr>
                <w:sz w:val="20"/>
                <w:szCs w:val="20"/>
              </w:rPr>
            </w:pPr>
            <w:r>
              <w:rPr>
                <w:i/>
                <w:sz w:val="20"/>
                <w:szCs w:val="20"/>
              </w:rPr>
              <w:t>f</w:t>
            </w:r>
            <w:r>
              <w:rPr>
                <w:sz w:val="20"/>
                <w:szCs w:val="20"/>
              </w:rPr>
              <w:t>/100</w:t>
            </w:r>
          </w:p>
        </w:tc>
        <w:tc>
          <w:tcPr>
            <w:tcW w:w="1228" w:type="dxa"/>
          </w:tcPr>
          <w:p w14:paraId="3E6B1213" w14:textId="26CB4857" w:rsidR="009C6AB2" w:rsidRPr="009C6AB2" w:rsidRDefault="009C6AB2" w:rsidP="009C6AB2">
            <w:pPr>
              <w:rPr>
                <w:sz w:val="20"/>
                <w:szCs w:val="20"/>
              </w:rPr>
            </w:pPr>
            <w:r>
              <w:rPr>
                <w:sz w:val="20"/>
                <w:szCs w:val="20"/>
              </w:rPr>
              <w:t>0.4</w:t>
            </w:r>
          </w:p>
        </w:tc>
        <w:tc>
          <w:tcPr>
            <w:tcW w:w="1228" w:type="dxa"/>
          </w:tcPr>
          <w:p w14:paraId="2CA137F3" w14:textId="09D32A6E" w:rsidR="009C6AB2" w:rsidRPr="009C6AB2" w:rsidRDefault="009C6AB2" w:rsidP="009C6AB2">
            <w:pPr>
              <w:rPr>
                <w:sz w:val="20"/>
                <w:szCs w:val="20"/>
              </w:rPr>
            </w:pPr>
            <w:r>
              <w:rPr>
                <w:sz w:val="20"/>
                <w:szCs w:val="20"/>
              </w:rPr>
              <w:t>10</w:t>
            </w:r>
          </w:p>
        </w:tc>
        <w:tc>
          <w:tcPr>
            <w:tcW w:w="1229" w:type="dxa"/>
          </w:tcPr>
          <w:p w14:paraId="3FEC1EF9" w14:textId="5EBF1E14" w:rsidR="009C6AB2" w:rsidRPr="009C6AB2" w:rsidRDefault="009C6AB2" w:rsidP="009C6AB2">
            <w:pPr>
              <w:rPr>
                <w:sz w:val="20"/>
                <w:szCs w:val="20"/>
              </w:rPr>
            </w:pPr>
            <w:r>
              <w:rPr>
                <w:sz w:val="20"/>
                <w:szCs w:val="20"/>
              </w:rPr>
              <w:t>20</w:t>
            </w:r>
          </w:p>
        </w:tc>
      </w:tr>
      <w:tr w:rsidR="008B47C6" w:rsidRPr="009C6AB2" w14:paraId="36A0AF06" w14:textId="77777777" w:rsidTr="008B47C6">
        <w:tc>
          <w:tcPr>
            <w:tcW w:w="1432" w:type="dxa"/>
            <w:vMerge/>
          </w:tcPr>
          <w:p w14:paraId="524DCE55" w14:textId="77777777" w:rsidR="009C6AB2" w:rsidRPr="009C6AB2" w:rsidRDefault="009C6AB2" w:rsidP="009C6AB2">
            <w:pPr>
              <w:rPr>
                <w:sz w:val="20"/>
                <w:szCs w:val="20"/>
              </w:rPr>
            </w:pPr>
          </w:p>
        </w:tc>
        <w:tc>
          <w:tcPr>
            <w:tcW w:w="1824" w:type="dxa"/>
          </w:tcPr>
          <w:p w14:paraId="0DF18034" w14:textId="03FC927C" w:rsidR="009C6AB2" w:rsidRPr="009C6AB2" w:rsidRDefault="009C6AB2" w:rsidP="009C6AB2">
            <w:pPr>
              <w:rPr>
                <w:sz w:val="20"/>
                <w:szCs w:val="20"/>
              </w:rPr>
            </w:pPr>
            <w:r>
              <w:rPr>
                <w:sz w:val="20"/>
                <w:szCs w:val="20"/>
              </w:rPr>
              <w:t>10 MHz</w:t>
            </w:r>
            <w:r w:rsidR="006A4842">
              <w:rPr>
                <w:sz w:val="20"/>
                <w:szCs w:val="20"/>
              </w:rPr>
              <w:t>–</w:t>
            </w:r>
            <w:r>
              <w:rPr>
                <w:sz w:val="20"/>
                <w:szCs w:val="20"/>
              </w:rPr>
              <w:t>10 GHz</w:t>
            </w:r>
          </w:p>
        </w:tc>
        <w:tc>
          <w:tcPr>
            <w:tcW w:w="1559" w:type="dxa"/>
          </w:tcPr>
          <w:p w14:paraId="04CFFEE5" w14:textId="09AC001A" w:rsidR="009C6AB2" w:rsidRPr="009C6AB2" w:rsidRDefault="009C6AB2" w:rsidP="009C6AB2">
            <w:pPr>
              <w:rPr>
                <w:sz w:val="20"/>
                <w:szCs w:val="20"/>
              </w:rPr>
            </w:pPr>
            <w:r>
              <w:rPr>
                <w:sz w:val="20"/>
                <w:szCs w:val="20"/>
              </w:rPr>
              <w:t>-</w:t>
            </w:r>
          </w:p>
        </w:tc>
        <w:tc>
          <w:tcPr>
            <w:tcW w:w="1228" w:type="dxa"/>
          </w:tcPr>
          <w:p w14:paraId="3A724CEA" w14:textId="5FA2F663" w:rsidR="009C6AB2" w:rsidRPr="009C6AB2" w:rsidRDefault="009C6AB2" w:rsidP="009C6AB2">
            <w:pPr>
              <w:rPr>
                <w:sz w:val="20"/>
                <w:szCs w:val="20"/>
              </w:rPr>
            </w:pPr>
            <w:r>
              <w:rPr>
                <w:sz w:val="20"/>
                <w:szCs w:val="20"/>
              </w:rPr>
              <w:t>0.4</w:t>
            </w:r>
          </w:p>
        </w:tc>
        <w:tc>
          <w:tcPr>
            <w:tcW w:w="1228" w:type="dxa"/>
          </w:tcPr>
          <w:p w14:paraId="4DFD8FEA" w14:textId="050F781C" w:rsidR="009C6AB2" w:rsidRPr="009C6AB2" w:rsidRDefault="009C6AB2" w:rsidP="009C6AB2">
            <w:pPr>
              <w:rPr>
                <w:sz w:val="20"/>
                <w:szCs w:val="20"/>
              </w:rPr>
            </w:pPr>
            <w:r>
              <w:rPr>
                <w:sz w:val="20"/>
                <w:szCs w:val="20"/>
              </w:rPr>
              <w:t>10</w:t>
            </w:r>
          </w:p>
        </w:tc>
        <w:tc>
          <w:tcPr>
            <w:tcW w:w="1229" w:type="dxa"/>
          </w:tcPr>
          <w:p w14:paraId="1386D4DC" w14:textId="3D7F7BDA" w:rsidR="009C6AB2" w:rsidRPr="009C6AB2" w:rsidRDefault="009C6AB2" w:rsidP="009C6AB2">
            <w:pPr>
              <w:rPr>
                <w:sz w:val="20"/>
                <w:szCs w:val="20"/>
              </w:rPr>
            </w:pPr>
            <w:r>
              <w:rPr>
                <w:sz w:val="20"/>
                <w:szCs w:val="20"/>
              </w:rPr>
              <w:t>20</w:t>
            </w:r>
          </w:p>
        </w:tc>
      </w:tr>
    </w:tbl>
    <w:p w14:paraId="10060843" w14:textId="77777777" w:rsidR="009C6AB2" w:rsidRDefault="009C6AB2" w:rsidP="009C6AB2">
      <w:pPr>
        <w:ind w:left="567" w:hanging="567"/>
      </w:pPr>
    </w:p>
    <w:p w14:paraId="31F20DC7" w14:textId="0E251A63" w:rsidR="009C6AB2" w:rsidRDefault="009C6AB2" w:rsidP="009C6AB2">
      <w:pPr>
        <w:ind w:left="567" w:hanging="567"/>
        <w:jc w:val="both"/>
      </w:pPr>
      <w:r w:rsidRPr="009C6AB2">
        <w:lastRenderedPageBreak/>
        <w:t>Basic restrictions for power density for frequencies between 10 and 300 GHz.</w:t>
      </w:r>
    </w:p>
    <w:p w14:paraId="7057A941" w14:textId="77777777" w:rsidR="009C6AB2" w:rsidRDefault="009C6AB2" w:rsidP="009C6AB2">
      <w:pPr>
        <w:ind w:left="567" w:hanging="567"/>
        <w:jc w:val="both"/>
      </w:pPr>
    </w:p>
    <w:tbl>
      <w:tblPr>
        <w:tblStyle w:val="TableGrid"/>
        <w:tblW w:w="0" w:type="auto"/>
        <w:tblLook w:val="04A0" w:firstRow="1" w:lastRow="0" w:firstColumn="1" w:lastColumn="0" w:noHBand="0" w:noVBand="1"/>
      </w:tblPr>
      <w:tblGrid>
        <w:gridCol w:w="4244"/>
        <w:gridCol w:w="4244"/>
      </w:tblGrid>
      <w:tr w:rsidR="009C6AB2" w:rsidRPr="009C6AB2" w14:paraId="194BEDED" w14:textId="77777777" w:rsidTr="00200F1B">
        <w:tc>
          <w:tcPr>
            <w:tcW w:w="4244" w:type="dxa"/>
          </w:tcPr>
          <w:p w14:paraId="239A9F5B" w14:textId="67F4D73D" w:rsidR="009C6AB2" w:rsidRPr="009C6AB2" w:rsidRDefault="009C6AB2" w:rsidP="009C6AB2">
            <w:pPr>
              <w:jc w:val="both"/>
              <w:rPr>
                <w:sz w:val="20"/>
                <w:szCs w:val="20"/>
              </w:rPr>
            </w:pPr>
            <w:r>
              <w:rPr>
                <w:sz w:val="20"/>
                <w:szCs w:val="20"/>
              </w:rPr>
              <w:t>Exposure characteristics</w:t>
            </w:r>
          </w:p>
        </w:tc>
        <w:tc>
          <w:tcPr>
            <w:tcW w:w="4244" w:type="dxa"/>
          </w:tcPr>
          <w:p w14:paraId="7DE019D5" w14:textId="6AF0330D" w:rsidR="009C6AB2" w:rsidRPr="009C6AB2" w:rsidRDefault="009C6AB2" w:rsidP="009C6AB2">
            <w:pPr>
              <w:jc w:val="both"/>
              <w:rPr>
                <w:sz w:val="20"/>
                <w:szCs w:val="20"/>
              </w:rPr>
            </w:pPr>
            <w:r>
              <w:rPr>
                <w:sz w:val="20"/>
                <w:szCs w:val="20"/>
              </w:rPr>
              <w:t>Power density (W m</w:t>
            </w:r>
            <w:r>
              <w:rPr>
                <w:sz w:val="20"/>
                <w:szCs w:val="20"/>
                <w:vertAlign w:val="superscript"/>
              </w:rPr>
              <w:t>-2</w:t>
            </w:r>
            <w:r>
              <w:rPr>
                <w:sz w:val="20"/>
                <w:szCs w:val="20"/>
              </w:rPr>
              <w:t>)</w:t>
            </w:r>
          </w:p>
        </w:tc>
      </w:tr>
      <w:tr w:rsidR="009C6AB2" w:rsidRPr="009C6AB2" w14:paraId="76B2A405" w14:textId="77777777" w:rsidTr="00200F1B">
        <w:tc>
          <w:tcPr>
            <w:tcW w:w="4244" w:type="dxa"/>
          </w:tcPr>
          <w:p w14:paraId="10F36602" w14:textId="36F24056" w:rsidR="009C6AB2" w:rsidRPr="009C6AB2" w:rsidRDefault="009C6AB2" w:rsidP="009C6AB2">
            <w:pPr>
              <w:jc w:val="both"/>
              <w:rPr>
                <w:sz w:val="20"/>
                <w:szCs w:val="20"/>
              </w:rPr>
            </w:pPr>
            <w:r>
              <w:rPr>
                <w:sz w:val="20"/>
                <w:szCs w:val="20"/>
              </w:rPr>
              <w:t>Occupational exposure</w:t>
            </w:r>
          </w:p>
        </w:tc>
        <w:tc>
          <w:tcPr>
            <w:tcW w:w="4244" w:type="dxa"/>
          </w:tcPr>
          <w:p w14:paraId="649D0416" w14:textId="1BE3646C" w:rsidR="009C6AB2" w:rsidRPr="009C6AB2" w:rsidRDefault="009C6AB2" w:rsidP="009C6AB2">
            <w:pPr>
              <w:jc w:val="both"/>
              <w:rPr>
                <w:sz w:val="20"/>
                <w:szCs w:val="20"/>
              </w:rPr>
            </w:pPr>
            <w:r>
              <w:rPr>
                <w:sz w:val="20"/>
                <w:szCs w:val="20"/>
              </w:rPr>
              <w:t>50</w:t>
            </w:r>
          </w:p>
        </w:tc>
      </w:tr>
    </w:tbl>
    <w:p w14:paraId="0CF432BE" w14:textId="77777777" w:rsidR="009C6AB2" w:rsidRDefault="009C6AB2" w:rsidP="009C6AB2">
      <w:pPr>
        <w:jc w:val="both"/>
      </w:pPr>
    </w:p>
    <w:p w14:paraId="0F4B4C3D" w14:textId="77777777" w:rsidR="009C6AB2" w:rsidRDefault="009C6AB2" w:rsidP="00B509EB">
      <w:pPr>
        <w:pStyle w:val="REG-P0"/>
        <w:ind w:left="567" w:hanging="567"/>
      </w:pPr>
      <w:r w:rsidRPr="009C6AB2">
        <w:t xml:space="preserve">Note: </w:t>
      </w:r>
    </w:p>
    <w:p w14:paraId="70902BB8" w14:textId="77777777" w:rsidR="009C6AB2" w:rsidRDefault="009C6AB2" w:rsidP="00B509EB">
      <w:pPr>
        <w:pStyle w:val="REG-P0"/>
        <w:ind w:left="567" w:hanging="567"/>
      </w:pPr>
      <w:r w:rsidRPr="009C6AB2">
        <w:t xml:space="preserve">1. </w:t>
      </w:r>
      <w:r>
        <w:tab/>
      </w:r>
      <w:r w:rsidRPr="009C6AB2">
        <w:rPr>
          <w:i/>
        </w:rPr>
        <w:t>f</w:t>
      </w:r>
      <w:r w:rsidRPr="009C6AB2">
        <w:t xml:space="preserve"> is the frequency in hertz. </w:t>
      </w:r>
    </w:p>
    <w:p w14:paraId="72B88BA4" w14:textId="629B2ACF" w:rsidR="009C6AB2" w:rsidRDefault="009C6AB2" w:rsidP="00B509EB">
      <w:pPr>
        <w:pStyle w:val="REG-P0"/>
        <w:ind w:left="567" w:hanging="567"/>
      </w:pPr>
      <w:r w:rsidRPr="009C6AB2">
        <w:t xml:space="preserve">2. </w:t>
      </w:r>
      <w:r>
        <w:tab/>
      </w:r>
      <w:r w:rsidRPr="009C6AB2">
        <w:t xml:space="preserve">Because of electrical inhomogeneity of the body, current densities should be averaged over a cross-section of 1 cm2 perpendicular to the current direction. </w:t>
      </w:r>
    </w:p>
    <w:p w14:paraId="7C579A8D" w14:textId="77777777" w:rsidR="00200F1B" w:rsidRPr="005111EF" w:rsidRDefault="00200F1B" w:rsidP="00200F1B">
      <w:pPr>
        <w:pStyle w:val="REG-Amend"/>
      </w:pPr>
      <w:r>
        <w:t>[The term “cm2” should probably be “cm</w:t>
      </w:r>
      <w:r>
        <w:rPr>
          <w:vertAlign w:val="superscript"/>
        </w:rPr>
        <w:t>2</w:t>
      </w:r>
      <w:r w:rsidRPr="00F457AB">
        <w:t>”.]</w:t>
      </w:r>
    </w:p>
    <w:p w14:paraId="02424386" w14:textId="6A243879" w:rsidR="009C6AB2" w:rsidRDefault="009C6AB2" w:rsidP="00B509EB">
      <w:pPr>
        <w:pStyle w:val="REG-P0"/>
        <w:ind w:left="567" w:hanging="567"/>
      </w:pPr>
      <w:r w:rsidRPr="009C6AB2">
        <w:t xml:space="preserve">3. </w:t>
      </w:r>
      <w:r>
        <w:tab/>
      </w:r>
      <w:r w:rsidRPr="009C6AB2">
        <w:t xml:space="preserve">For frequencies up to 100 kHz, peak current density values can be obtained by multiplying the rms value by u2 (;1.414). For pulses of duration </w:t>
      </w:r>
      <w:r w:rsidRPr="009C6AB2">
        <w:rPr>
          <w:i/>
        </w:rPr>
        <w:t>tp</w:t>
      </w:r>
      <w:r w:rsidRPr="009C6AB2">
        <w:t xml:space="preserve"> the equivalent frequency to apply in the basic restrictions should be calculated as </w:t>
      </w:r>
      <w:r w:rsidRPr="009C6AB2">
        <w:rPr>
          <w:i/>
        </w:rPr>
        <w:t>f</w:t>
      </w:r>
      <w:r w:rsidRPr="009C6AB2">
        <w:t xml:space="preserve"> 5 1/(2</w:t>
      </w:r>
      <w:r w:rsidRPr="009C6AB2">
        <w:rPr>
          <w:i/>
        </w:rPr>
        <w:t>tp</w:t>
      </w:r>
      <w:r w:rsidRPr="009C6AB2">
        <w:t xml:space="preserve">). </w:t>
      </w:r>
    </w:p>
    <w:p w14:paraId="7F87E544" w14:textId="2D974B44" w:rsidR="00200F1B" w:rsidRDefault="00200F1B" w:rsidP="00200F1B">
      <w:pPr>
        <w:pStyle w:val="REG-Amend"/>
      </w:pPr>
      <w:r>
        <w:t xml:space="preserve">[The letter “u” may have been intended to be the symbol “μ”, </w:t>
      </w:r>
      <w:r>
        <w:br/>
        <w:t>which stands for “micro”</w:t>
      </w:r>
      <w:r w:rsidR="00ED36CD">
        <w:t xml:space="preserve"> </w:t>
      </w:r>
      <w:r>
        <w:t xml:space="preserve">and denotes </w:t>
      </w:r>
      <w:r w:rsidRPr="00A4628B">
        <w:t>1/1</w:t>
      </w:r>
      <w:r>
        <w:t xml:space="preserve"> </w:t>
      </w:r>
      <w:r w:rsidRPr="00A4628B">
        <w:t>000</w:t>
      </w:r>
      <w:r>
        <w:t xml:space="preserve"> </w:t>
      </w:r>
      <w:r w:rsidRPr="00A4628B">
        <w:t>000</w:t>
      </w:r>
      <w:r>
        <w:t>.]</w:t>
      </w:r>
    </w:p>
    <w:p w14:paraId="7AAD8401" w14:textId="77777777" w:rsidR="009C6AB2" w:rsidRDefault="009C6AB2" w:rsidP="00B509EB">
      <w:pPr>
        <w:pStyle w:val="REG-P0"/>
        <w:ind w:left="567" w:hanging="567"/>
      </w:pPr>
      <w:r w:rsidRPr="009C6AB2">
        <w:t xml:space="preserve">4. </w:t>
      </w:r>
      <w:r>
        <w:tab/>
      </w:r>
      <w:r w:rsidRPr="009C6AB2">
        <w:t xml:space="preserve">For frequencies up to 100 kHz and for pulsed magnetic fields, the maximum current density associated with the pulses can be calculated from the rise/fall times and the maximum rate of change of magnetic flux density. The induced current density can then be compared with the appropriate basic restriction. </w:t>
      </w:r>
    </w:p>
    <w:p w14:paraId="2C4E64DD" w14:textId="77777777" w:rsidR="009C6AB2" w:rsidRDefault="009C6AB2" w:rsidP="00B509EB">
      <w:pPr>
        <w:pStyle w:val="REG-P0"/>
        <w:ind w:left="567" w:hanging="567"/>
      </w:pPr>
      <w:r w:rsidRPr="009C6AB2">
        <w:t xml:space="preserve">5. </w:t>
      </w:r>
      <w:r>
        <w:tab/>
      </w:r>
      <w:r w:rsidRPr="009C6AB2">
        <w:t xml:space="preserve">All SAR values are to be averaged over any 6-min period. </w:t>
      </w:r>
    </w:p>
    <w:p w14:paraId="29C2837B" w14:textId="77777777" w:rsidR="009C6AB2" w:rsidRDefault="009C6AB2" w:rsidP="00B509EB">
      <w:pPr>
        <w:pStyle w:val="REG-P0"/>
        <w:ind w:left="567" w:hanging="567"/>
      </w:pPr>
      <w:r w:rsidRPr="009C6AB2">
        <w:t xml:space="preserve">6. </w:t>
      </w:r>
      <w:r>
        <w:tab/>
      </w:r>
      <w:r w:rsidRPr="009C6AB2">
        <w:t xml:space="preserve">Localized SAR averaging mass is any 10 g of contiguous tissue; the maximum SAR so obtained should be the value used for the estimation of exposure. </w:t>
      </w:r>
    </w:p>
    <w:p w14:paraId="55D87D74" w14:textId="1E59EC83" w:rsidR="009C6AB2" w:rsidRDefault="009C6AB2" w:rsidP="00B509EB">
      <w:pPr>
        <w:pStyle w:val="REG-P0"/>
        <w:ind w:left="567" w:hanging="567"/>
      </w:pPr>
      <w:r w:rsidRPr="009C6AB2">
        <w:t xml:space="preserve">7. </w:t>
      </w:r>
      <w:r>
        <w:tab/>
      </w:r>
      <w:r w:rsidRPr="009C6AB2">
        <w:t xml:space="preserve">For pulses of duration </w:t>
      </w:r>
      <w:r w:rsidRPr="009C6AB2">
        <w:rPr>
          <w:i/>
        </w:rPr>
        <w:t>tp</w:t>
      </w:r>
      <w:r w:rsidRPr="009C6AB2">
        <w:t xml:space="preserve"> the equivalent frequency to apply in the basic restrictions should be calculated as </w:t>
      </w:r>
      <w:r w:rsidRPr="009C6AB2">
        <w:rPr>
          <w:i/>
        </w:rPr>
        <w:t>f</w:t>
      </w:r>
      <w:r w:rsidRPr="009C6AB2">
        <w:t xml:space="preserve"> 5 1/(2</w:t>
      </w:r>
      <w:r w:rsidRPr="009C6AB2">
        <w:rPr>
          <w:i/>
        </w:rPr>
        <w:t>tp</w:t>
      </w:r>
      <w:r w:rsidRPr="009C6AB2">
        <w:t>). Additionally, for pulsed exposures in the frequency range 0.3 to 10 GHz and for localized exposure of the head, in order to limit or avoid auditory effects caused by thermoelastic expansion, an additional basic restriction is recommended. This is that the SA should not exceed 10 mJ kg21 for workers and 2</w:t>
      </w:r>
      <w:r w:rsidR="00AC219F">
        <w:t xml:space="preserve"> </w:t>
      </w:r>
      <w:r w:rsidRPr="009C6AB2">
        <w:t xml:space="preserve">mJ kg21 for the general public, averaged over 10 g tissue. </w:t>
      </w:r>
    </w:p>
    <w:p w14:paraId="6DFB63DA" w14:textId="77777777" w:rsidR="009C6AB2" w:rsidRDefault="009C6AB2" w:rsidP="00B509EB">
      <w:pPr>
        <w:pStyle w:val="REG-P0"/>
        <w:ind w:left="567" w:hanging="567"/>
      </w:pPr>
      <w:r w:rsidRPr="009C6AB2">
        <w:t xml:space="preserve">8. </w:t>
      </w:r>
      <w:r>
        <w:tab/>
      </w:r>
      <w:r w:rsidRPr="009C6AB2">
        <w:t>Power densities are to be averaged over any 20 cm2 of exposed area and any 68/</w:t>
      </w:r>
      <w:r w:rsidRPr="009C6AB2">
        <w:rPr>
          <w:i/>
        </w:rPr>
        <w:t>f</w:t>
      </w:r>
      <w:r w:rsidRPr="009C6AB2">
        <w:t xml:space="preserve"> 1.05-min period (where </w:t>
      </w:r>
      <w:r w:rsidRPr="009C6AB2">
        <w:rPr>
          <w:i/>
        </w:rPr>
        <w:t>f</w:t>
      </w:r>
      <w:r w:rsidRPr="009C6AB2">
        <w:t xml:space="preserve"> is in GHz) to compensate for progressively shorter penetration depth as the frequency increases. </w:t>
      </w:r>
    </w:p>
    <w:p w14:paraId="49D5AAD8" w14:textId="77777777" w:rsidR="00200F1B" w:rsidRPr="005111EF" w:rsidRDefault="00200F1B" w:rsidP="00200F1B">
      <w:pPr>
        <w:pStyle w:val="REG-Amend"/>
      </w:pPr>
      <w:r>
        <w:t>[The term “cm2” should probably be “cm</w:t>
      </w:r>
      <w:r>
        <w:rPr>
          <w:vertAlign w:val="superscript"/>
        </w:rPr>
        <w:t>2</w:t>
      </w:r>
      <w:r w:rsidRPr="00F457AB">
        <w:t>”.]</w:t>
      </w:r>
    </w:p>
    <w:p w14:paraId="7D904FE2" w14:textId="5027E114" w:rsidR="009C6AB2" w:rsidRDefault="009C6AB2" w:rsidP="00B509EB">
      <w:pPr>
        <w:pStyle w:val="REG-P0"/>
        <w:ind w:left="567" w:hanging="567"/>
      </w:pPr>
      <w:r w:rsidRPr="009C6AB2">
        <w:t>9.</w:t>
      </w:r>
      <w:r>
        <w:tab/>
      </w:r>
      <w:r w:rsidRPr="009C6AB2">
        <w:t>Spatial maximum power densities, averaged over 1 cm2, should not exceed 20 times the values above.</w:t>
      </w:r>
    </w:p>
    <w:p w14:paraId="6DA51931" w14:textId="77777777" w:rsidR="00200F1B" w:rsidRPr="005111EF" w:rsidRDefault="00200F1B" w:rsidP="00200F1B">
      <w:pPr>
        <w:pStyle w:val="REG-Amend"/>
      </w:pPr>
      <w:r>
        <w:t>[The term “cm2” should probably be “cm</w:t>
      </w:r>
      <w:r>
        <w:rPr>
          <w:vertAlign w:val="superscript"/>
        </w:rPr>
        <w:t>2</w:t>
      </w:r>
      <w:r w:rsidRPr="00F457AB">
        <w:t>”.]</w:t>
      </w:r>
    </w:p>
    <w:p w14:paraId="52E0DA2A" w14:textId="77777777" w:rsidR="00393C85" w:rsidRDefault="00393C85" w:rsidP="00393C85">
      <w:pPr>
        <w:jc w:val="both"/>
      </w:pPr>
    </w:p>
    <w:p w14:paraId="09DF33A1" w14:textId="77777777" w:rsidR="009C6AB2" w:rsidRDefault="009C6AB2" w:rsidP="009C6AB2">
      <w:pPr>
        <w:ind w:left="567" w:hanging="567"/>
        <w:jc w:val="both"/>
      </w:pPr>
    </w:p>
    <w:p w14:paraId="08941270" w14:textId="79601778" w:rsidR="009C6AB2" w:rsidRPr="00200F1B" w:rsidRDefault="009C6AB2" w:rsidP="00200F1B">
      <w:pPr>
        <w:pStyle w:val="REG-P0"/>
        <w:jc w:val="center"/>
        <w:rPr>
          <w:b/>
        </w:rPr>
      </w:pPr>
      <w:r w:rsidRPr="00200F1B">
        <w:rPr>
          <w:b/>
        </w:rPr>
        <w:t>Table 4</w:t>
      </w:r>
    </w:p>
    <w:p w14:paraId="52A03534" w14:textId="767144BC" w:rsidR="009C6AB2" w:rsidRPr="00200F1B" w:rsidRDefault="009C6AB2" w:rsidP="00200F1B">
      <w:pPr>
        <w:pStyle w:val="REG-P0"/>
        <w:jc w:val="center"/>
        <w:rPr>
          <w:b/>
        </w:rPr>
      </w:pPr>
      <w:r w:rsidRPr="00200F1B">
        <w:rPr>
          <w:b/>
        </w:rPr>
        <w:t xml:space="preserve">Reference Levels </w:t>
      </w:r>
      <w:r w:rsidR="005A6CEE" w:rsidRPr="00200F1B">
        <w:rPr>
          <w:b/>
        </w:rPr>
        <w:t>-</w:t>
      </w:r>
      <w:r w:rsidRPr="00200F1B">
        <w:rPr>
          <w:b/>
        </w:rPr>
        <w:t xml:space="preserve"> Occupational Exposure</w:t>
      </w:r>
    </w:p>
    <w:p w14:paraId="52CC6AB3" w14:textId="6725E37B" w:rsidR="009C6AB2" w:rsidRDefault="009C6AB2" w:rsidP="00200F1B">
      <w:pPr>
        <w:pStyle w:val="REG-P0"/>
        <w:jc w:val="center"/>
      </w:pPr>
      <w:r w:rsidRPr="009C6AB2">
        <w:t>(Reference levels for occupational exposure to time-varying electric and magnetic fields (unperturbed rms values)).</w:t>
      </w:r>
    </w:p>
    <w:p w14:paraId="3394CC7C" w14:textId="77777777" w:rsidR="009C6AB2" w:rsidRDefault="009C6AB2" w:rsidP="009C6AB2">
      <w:pPr>
        <w:ind w:left="567" w:hanging="567"/>
        <w:jc w:val="center"/>
      </w:pPr>
    </w:p>
    <w:tbl>
      <w:tblPr>
        <w:tblStyle w:val="TableGrid"/>
        <w:tblW w:w="8500" w:type="dxa"/>
        <w:tblLook w:val="04A0" w:firstRow="1" w:lastRow="0" w:firstColumn="1" w:lastColumn="0" w:noHBand="0" w:noVBand="1"/>
      </w:tblPr>
      <w:tblGrid>
        <w:gridCol w:w="1820"/>
        <w:gridCol w:w="1670"/>
        <w:gridCol w:w="1670"/>
        <w:gridCol w:w="1670"/>
        <w:gridCol w:w="1670"/>
      </w:tblGrid>
      <w:tr w:rsidR="009C6AB2" w:rsidRPr="00CA7FB9" w14:paraId="61CDB976" w14:textId="77777777" w:rsidTr="00200F1B">
        <w:trPr>
          <w:trHeight w:val="939"/>
        </w:trPr>
        <w:tc>
          <w:tcPr>
            <w:tcW w:w="1820" w:type="dxa"/>
            <w:vAlign w:val="center"/>
          </w:tcPr>
          <w:p w14:paraId="223C3C2B" w14:textId="77777777" w:rsidR="009C6AB2" w:rsidRPr="00CA7FB9" w:rsidRDefault="009C6AB2" w:rsidP="005111EF">
            <w:pPr>
              <w:jc w:val="center"/>
              <w:rPr>
                <w:rFonts w:cs="Times New Roman"/>
                <w:sz w:val="20"/>
                <w:szCs w:val="20"/>
              </w:rPr>
            </w:pPr>
            <w:r w:rsidRPr="00CA7FB9">
              <w:rPr>
                <w:rFonts w:cs="Times New Roman"/>
                <w:sz w:val="20"/>
                <w:szCs w:val="20"/>
              </w:rPr>
              <w:t>Frequency range</w:t>
            </w:r>
          </w:p>
        </w:tc>
        <w:tc>
          <w:tcPr>
            <w:tcW w:w="1670" w:type="dxa"/>
            <w:vAlign w:val="center"/>
          </w:tcPr>
          <w:p w14:paraId="7BDCF60A" w14:textId="77777777" w:rsidR="009C6AB2" w:rsidRPr="00CA7FB9" w:rsidRDefault="009C6AB2" w:rsidP="005111EF">
            <w:pPr>
              <w:jc w:val="center"/>
              <w:rPr>
                <w:rFonts w:cs="Times New Roman"/>
                <w:sz w:val="20"/>
                <w:szCs w:val="20"/>
              </w:rPr>
            </w:pPr>
            <w:r>
              <w:rPr>
                <w:rFonts w:cs="Times New Roman"/>
                <w:sz w:val="20"/>
                <w:szCs w:val="20"/>
              </w:rPr>
              <w:t>E-field strength (V m</w:t>
            </w:r>
            <w:r>
              <w:rPr>
                <w:rFonts w:cs="Times New Roman"/>
                <w:sz w:val="20"/>
                <w:szCs w:val="20"/>
                <w:vertAlign w:val="superscript"/>
              </w:rPr>
              <w:t>-1</w:t>
            </w:r>
            <w:r>
              <w:rPr>
                <w:rFonts w:cs="Times New Roman"/>
                <w:sz w:val="20"/>
                <w:szCs w:val="20"/>
              </w:rPr>
              <w:t>)</w:t>
            </w:r>
          </w:p>
        </w:tc>
        <w:tc>
          <w:tcPr>
            <w:tcW w:w="1670" w:type="dxa"/>
            <w:vAlign w:val="center"/>
          </w:tcPr>
          <w:p w14:paraId="66D7D537" w14:textId="77777777" w:rsidR="009C6AB2" w:rsidRPr="00CA7FB9" w:rsidRDefault="009C6AB2" w:rsidP="005111EF">
            <w:pPr>
              <w:jc w:val="center"/>
              <w:rPr>
                <w:rFonts w:cs="Times New Roman"/>
                <w:sz w:val="20"/>
                <w:szCs w:val="20"/>
              </w:rPr>
            </w:pPr>
            <w:r>
              <w:rPr>
                <w:rFonts w:cs="Times New Roman"/>
                <w:sz w:val="20"/>
                <w:szCs w:val="20"/>
              </w:rPr>
              <w:t>H-field strength (A m</w:t>
            </w:r>
            <w:r>
              <w:rPr>
                <w:rFonts w:cs="Times New Roman"/>
                <w:sz w:val="20"/>
                <w:szCs w:val="20"/>
                <w:vertAlign w:val="superscript"/>
              </w:rPr>
              <w:t>-1</w:t>
            </w:r>
            <w:r>
              <w:rPr>
                <w:rFonts w:cs="Times New Roman"/>
                <w:sz w:val="20"/>
                <w:szCs w:val="20"/>
              </w:rPr>
              <w:t>)</w:t>
            </w:r>
          </w:p>
        </w:tc>
        <w:tc>
          <w:tcPr>
            <w:tcW w:w="1670" w:type="dxa"/>
            <w:vAlign w:val="center"/>
          </w:tcPr>
          <w:p w14:paraId="011B9B4A" w14:textId="77777777" w:rsidR="009C6AB2" w:rsidRPr="00CA7FB9" w:rsidRDefault="009C6AB2" w:rsidP="005111EF">
            <w:pPr>
              <w:jc w:val="center"/>
              <w:rPr>
                <w:rFonts w:cs="Times New Roman"/>
                <w:sz w:val="20"/>
                <w:szCs w:val="20"/>
              </w:rPr>
            </w:pPr>
            <w:r>
              <w:rPr>
                <w:rFonts w:cs="Times New Roman"/>
                <w:sz w:val="20"/>
                <w:szCs w:val="20"/>
              </w:rPr>
              <w:t>B-field (μT)</w:t>
            </w:r>
          </w:p>
        </w:tc>
        <w:tc>
          <w:tcPr>
            <w:tcW w:w="1670" w:type="dxa"/>
            <w:vAlign w:val="center"/>
          </w:tcPr>
          <w:p w14:paraId="1B212679" w14:textId="666B9540" w:rsidR="009C6AB2" w:rsidRPr="00484193" w:rsidRDefault="009C6AB2" w:rsidP="005111EF">
            <w:pPr>
              <w:jc w:val="center"/>
              <w:rPr>
                <w:rFonts w:cs="Times New Roman"/>
                <w:sz w:val="20"/>
                <w:szCs w:val="20"/>
              </w:rPr>
            </w:pPr>
            <w:r>
              <w:rPr>
                <w:rFonts w:cs="Times New Roman"/>
                <w:sz w:val="20"/>
                <w:szCs w:val="20"/>
              </w:rPr>
              <w:t xml:space="preserve">Equivalent plane wave power density </w:t>
            </w:r>
            <w:r>
              <w:rPr>
                <w:rFonts w:cs="Times New Roman"/>
                <w:i/>
                <w:sz w:val="20"/>
                <w:szCs w:val="20"/>
              </w:rPr>
              <w:t>S</w:t>
            </w:r>
            <w:r>
              <w:rPr>
                <w:rFonts w:cs="Times New Roman"/>
                <w:sz w:val="20"/>
                <w:szCs w:val="20"/>
              </w:rPr>
              <w:t xml:space="preserve">eq </w:t>
            </w:r>
            <w:r w:rsidR="00200F1B">
              <w:rPr>
                <w:rFonts w:cs="Times New Roman"/>
                <w:sz w:val="20"/>
                <w:szCs w:val="20"/>
              </w:rPr>
              <w:br/>
            </w:r>
            <w:r>
              <w:rPr>
                <w:rFonts w:cs="Times New Roman"/>
                <w:sz w:val="20"/>
                <w:szCs w:val="20"/>
              </w:rPr>
              <w:t>(W m</w:t>
            </w:r>
            <w:r>
              <w:rPr>
                <w:rFonts w:cs="Times New Roman"/>
                <w:sz w:val="20"/>
                <w:szCs w:val="20"/>
                <w:vertAlign w:val="superscript"/>
              </w:rPr>
              <w:t>-2</w:t>
            </w:r>
            <w:r>
              <w:rPr>
                <w:rFonts w:cs="Times New Roman"/>
                <w:sz w:val="20"/>
                <w:szCs w:val="20"/>
              </w:rPr>
              <w:t>)</w:t>
            </w:r>
          </w:p>
        </w:tc>
      </w:tr>
      <w:tr w:rsidR="009C6AB2" w:rsidRPr="00CA7FB9" w14:paraId="70D36551" w14:textId="77777777" w:rsidTr="00200F1B">
        <w:trPr>
          <w:trHeight w:val="235"/>
        </w:trPr>
        <w:tc>
          <w:tcPr>
            <w:tcW w:w="1820" w:type="dxa"/>
          </w:tcPr>
          <w:p w14:paraId="2C50D07A" w14:textId="77777777" w:rsidR="009C6AB2" w:rsidRPr="00CA7FB9" w:rsidRDefault="009C6AB2" w:rsidP="00FB3F64">
            <w:pPr>
              <w:rPr>
                <w:rFonts w:cs="Times New Roman"/>
                <w:sz w:val="20"/>
                <w:szCs w:val="20"/>
              </w:rPr>
            </w:pPr>
            <w:r>
              <w:rPr>
                <w:rFonts w:cs="Times New Roman"/>
                <w:sz w:val="20"/>
                <w:szCs w:val="20"/>
              </w:rPr>
              <w:t>up to 1 Hz</w:t>
            </w:r>
          </w:p>
        </w:tc>
        <w:tc>
          <w:tcPr>
            <w:tcW w:w="1670" w:type="dxa"/>
          </w:tcPr>
          <w:p w14:paraId="335AAA11" w14:textId="77777777" w:rsidR="009C6AB2" w:rsidRPr="00CA7FB9" w:rsidRDefault="009C6AB2" w:rsidP="00FB3F64">
            <w:pPr>
              <w:rPr>
                <w:rFonts w:cs="Times New Roman"/>
                <w:sz w:val="20"/>
                <w:szCs w:val="20"/>
              </w:rPr>
            </w:pPr>
            <w:r>
              <w:rPr>
                <w:rFonts w:cs="Times New Roman"/>
                <w:sz w:val="20"/>
                <w:szCs w:val="20"/>
              </w:rPr>
              <w:t>-</w:t>
            </w:r>
          </w:p>
        </w:tc>
        <w:tc>
          <w:tcPr>
            <w:tcW w:w="1670" w:type="dxa"/>
          </w:tcPr>
          <w:p w14:paraId="383B2E89" w14:textId="2783AE4A" w:rsidR="009C6AB2" w:rsidRPr="00484193" w:rsidRDefault="005111EF" w:rsidP="00FB3F64">
            <w:pPr>
              <w:rPr>
                <w:rFonts w:cs="Times New Roman"/>
                <w:sz w:val="20"/>
                <w:szCs w:val="20"/>
                <w:vertAlign w:val="superscript"/>
              </w:rPr>
            </w:pPr>
            <w:r>
              <w:rPr>
                <w:rFonts w:cs="Times New Roman"/>
                <w:sz w:val="20"/>
                <w:szCs w:val="20"/>
              </w:rPr>
              <w:t>1.63</w:t>
            </w:r>
            <w:r w:rsidR="009C6AB2">
              <w:rPr>
                <w:rFonts w:cs="Times New Roman"/>
                <w:sz w:val="20"/>
                <w:szCs w:val="20"/>
              </w:rPr>
              <w:t xml:space="preserve"> x 10</w:t>
            </w:r>
            <w:r>
              <w:rPr>
                <w:rFonts w:cs="Times New Roman"/>
                <w:sz w:val="20"/>
                <w:szCs w:val="20"/>
                <w:vertAlign w:val="superscript"/>
              </w:rPr>
              <w:t>5</w:t>
            </w:r>
          </w:p>
        </w:tc>
        <w:tc>
          <w:tcPr>
            <w:tcW w:w="1670" w:type="dxa"/>
          </w:tcPr>
          <w:p w14:paraId="517507DF" w14:textId="0BD88B70" w:rsidR="009C6AB2" w:rsidRPr="00CA7FB9" w:rsidRDefault="005111EF" w:rsidP="00FB3F64">
            <w:pPr>
              <w:rPr>
                <w:rFonts w:cs="Times New Roman"/>
                <w:sz w:val="20"/>
                <w:szCs w:val="20"/>
              </w:rPr>
            </w:pPr>
            <w:r>
              <w:rPr>
                <w:rFonts w:cs="Times New Roman"/>
                <w:sz w:val="20"/>
                <w:szCs w:val="20"/>
              </w:rPr>
              <w:t>2</w:t>
            </w:r>
            <w:r w:rsidR="009C6AB2">
              <w:rPr>
                <w:rFonts w:cs="Times New Roman"/>
                <w:sz w:val="20"/>
                <w:szCs w:val="20"/>
              </w:rPr>
              <w:t xml:space="preserve"> x 10</w:t>
            </w:r>
            <w:r>
              <w:rPr>
                <w:rFonts w:cs="Times New Roman"/>
                <w:sz w:val="20"/>
                <w:szCs w:val="20"/>
                <w:vertAlign w:val="superscript"/>
              </w:rPr>
              <w:t>5</w:t>
            </w:r>
          </w:p>
        </w:tc>
        <w:tc>
          <w:tcPr>
            <w:tcW w:w="1670" w:type="dxa"/>
          </w:tcPr>
          <w:p w14:paraId="11BBE881"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14EE0C32" w14:textId="77777777" w:rsidTr="00200F1B">
        <w:trPr>
          <w:trHeight w:val="235"/>
        </w:trPr>
        <w:tc>
          <w:tcPr>
            <w:tcW w:w="1820" w:type="dxa"/>
          </w:tcPr>
          <w:p w14:paraId="78E2C710" w14:textId="6C46AE35" w:rsidR="009C6AB2" w:rsidRPr="00CA7FB9" w:rsidRDefault="009C6AB2" w:rsidP="00FB3F64">
            <w:pPr>
              <w:rPr>
                <w:rFonts w:cs="Times New Roman"/>
                <w:sz w:val="20"/>
                <w:szCs w:val="20"/>
              </w:rPr>
            </w:pPr>
            <w:r>
              <w:rPr>
                <w:rFonts w:cs="Times New Roman"/>
                <w:sz w:val="20"/>
                <w:szCs w:val="20"/>
              </w:rPr>
              <w:t>1</w:t>
            </w:r>
            <w:r w:rsidR="00487CE9">
              <w:rPr>
                <w:sz w:val="20"/>
                <w:szCs w:val="20"/>
              </w:rPr>
              <w:t>–</w:t>
            </w:r>
            <w:r>
              <w:rPr>
                <w:rFonts w:cs="Times New Roman"/>
                <w:sz w:val="20"/>
                <w:szCs w:val="20"/>
              </w:rPr>
              <w:t>8 Hz</w:t>
            </w:r>
          </w:p>
        </w:tc>
        <w:tc>
          <w:tcPr>
            <w:tcW w:w="1670" w:type="dxa"/>
          </w:tcPr>
          <w:p w14:paraId="2EFBAD92" w14:textId="38F0428E" w:rsidR="009C6AB2" w:rsidRPr="00CA7FB9" w:rsidRDefault="005111EF" w:rsidP="007A4A3B">
            <w:pPr>
              <w:rPr>
                <w:rFonts w:cs="Times New Roman"/>
                <w:sz w:val="20"/>
                <w:szCs w:val="20"/>
              </w:rPr>
            </w:pPr>
            <w:r>
              <w:rPr>
                <w:rFonts w:cs="Times New Roman"/>
                <w:sz w:val="20"/>
                <w:szCs w:val="20"/>
              </w:rPr>
              <w:t>2</w:t>
            </w:r>
            <w:r w:rsidR="009C6AB2">
              <w:rPr>
                <w:rFonts w:cs="Times New Roman"/>
                <w:sz w:val="20"/>
                <w:szCs w:val="20"/>
              </w:rPr>
              <w:t>0,000</w:t>
            </w:r>
          </w:p>
        </w:tc>
        <w:tc>
          <w:tcPr>
            <w:tcW w:w="1670" w:type="dxa"/>
          </w:tcPr>
          <w:p w14:paraId="083E7E27" w14:textId="6386173E" w:rsidR="009C6AB2" w:rsidRPr="00484193" w:rsidRDefault="005111EF" w:rsidP="00FB3F64">
            <w:pPr>
              <w:rPr>
                <w:rFonts w:cs="Times New Roman"/>
                <w:sz w:val="20"/>
                <w:szCs w:val="20"/>
                <w:vertAlign w:val="superscript"/>
              </w:rPr>
            </w:pPr>
            <w:r>
              <w:rPr>
                <w:rFonts w:cs="Times New Roman"/>
                <w:sz w:val="20"/>
                <w:szCs w:val="20"/>
              </w:rPr>
              <w:t>1.63</w:t>
            </w:r>
            <w:r w:rsidR="009C6AB2">
              <w:rPr>
                <w:rFonts w:cs="Times New Roman"/>
                <w:sz w:val="20"/>
                <w:szCs w:val="20"/>
              </w:rPr>
              <w:t xml:space="preserve"> x 10</w:t>
            </w:r>
            <w:r>
              <w:rPr>
                <w:rFonts w:cs="Times New Roman"/>
                <w:sz w:val="20"/>
                <w:szCs w:val="20"/>
                <w:vertAlign w:val="superscript"/>
              </w:rPr>
              <w:t>5</w:t>
            </w:r>
            <w:r w:rsidR="009C6AB2">
              <w:rPr>
                <w:rFonts w:cs="Times New Roman"/>
                <w:sz w:val="20"/>
                <w:szCs w:val="20"/>
              </w:rPr>
              <w:t>/</w:t>
            </w:r>
            <w:r w:rsidR="009C6AB2">
              <w:rPr>
                <w:rFonts w:cs="Times New Roman"/>
                <w:i/>
                <w:sz w:val="20"/>
                <w:szCs w:val="20"/>
              </w:rPr>
              <w:t>f</w:t>
            </w:r>
            <w:r w:rsidR="009C6AB2">
              <w:rPr>
                <w:rFonts w:cs="Times New Roman"/>
                <w:sz w:val="20"/>
                <w:szCs w:val="20"/>
                <w:vertAlign w:val="superscript"/>
              </w:rPr>
              <w:t>2</w:t>
            </w:r>
          </w:p>
        </w:tc>
        <w:tc>
          <w:tcPr>
            <w:tcW w:w="1670" w:type="dxa"/>
          </w:tcPr>
          <w:p w14:paraId="607A55EA" w14:textId="2E5CD091" w:rsidR="009C6AB2" w:rsidRPr="00CA7FB9" w:rsidRDefault="005111EF" w:rsidP="00FB3F64">
            <w:pPr>
              <w:rPr>
                <w:rFonts w:cs="Times New Roman"/>
                <w:sz w:val="20"/>
                <w:szCs w:val="20"/>
              </w:rPr>
            </w:pPr>
            <w:r>
              <w:rPr>
                <w:rFonts w:cs="Times New Roman"/>
                <w:sz w:val="20"/>
                <w:szCs w:val="20"/>
              </w:rPr>
              <w:t>2</w:t>
            </w:r>
            <w:r w:rsidR="009C6AB2">
              <w:rPr>
                <w:rFonts w:cs="Times New Roman"/>
                <w:sz w:val="20"/>
                <w:szCs w:val="20"/>
              </w:rPr>
              <w:t xml:space="preserve"> x 10</w:t>
            </w:r>
            <w:r>
              <w:rPr>
                <w:rFonts w:cs="Times New Roman"/>
                <w:sz w:val="20"/>
                <w:szCs w:val="20"/>
                <w:vertAlign w:val="superscript"/>
              </w:rPr>
              <w:t>5</w:t>
            </w:r>
            <w:r w:rsidR="009C6AB2">
              <w:rPr>
                <w:rFonts w:cs="Times New Roman"/>
                <w:sz w:val="20"/>
                <w:szCs w:val="20"/>
              </w:rPr>
              <w:t>/</w:t>
            </w:r>
            <w:r w:rsidR="009C6AB2">
              <w:rPr>
                <w:rFonts w:cs="Times New Roman"/>
                <w:i/>
                <w:sz w:val="20"/>
                <w:szCs w:val="20"/>
              </w:rPr>
              <w:t>f</w:t>
            </w:r>
            <w:r w:rsidR="009C6AB2">
              <w:rPr>
                <w:rFonts w:cs="Times New Roman"/>
                <w:sz w:val="20"/>
                <w:szCs w:val="20"/>
                <w:vertAlign w:val="superscript"/>
              </w:rPr>
              <w:t>2</w:t>
            </w:r>
            <w:r w:rsidR="009C6AB2">
              <w:rPr>
                <w:rFonts w:cs="Times New Roman"/>
                <w:sz w:val="20"/>
                <w:szCs w:val="20"/>
              </w:rPr>
              <w:t xml:space="preserve"> </w:t>
            </w:r>
          </w:p>
        </w:tc>
        <w:tc>
          <w:tcPr>
            <w:tcW w:w="1670" w:type="dxa"/>
          </w:tcPr>
          <w:p w14:paraId="503ED13E"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19E77FAC" w14:textId="77777777" w:rsidTr="00200F1B">
        <w:trPr>
          <w:trHeight w:val="235"/>
        </w:trPr>
        <w:tc>
          <w:tcPr>
            <w:tcW w:w="1820" w:type="dxa"/>
          </w:tcPr>
          <w:p w14:paraId="0B569762" w14:textId="2F5CCFF7" w:rsidR="009C6AB2" w:rsidRPr="00CA7FB9" w:rsidRDefault="009C6AB2" w:rsidP="00FB3F64">
            <w:pPr>
              <w:rPr>
                <w:rFonts w:cs="Times New Roman"/>
                <w:sz w:val="20"/>
                <w:szCs w:val="20"/>
              </w:rPr>
            </w:pPr>
            <w:r>
              <w:rPr>
                <w:rFonts w:cs="Times New Roman"/>
                <w:sz w:val="20"/>
                <w:szCs w:val="20"/>
              </w:rPr>
              <w:t>8</w:t>
            </w:r>
            <w:r w:rsidR="00487CE9">
              <w:rPr>
                <w:sz w:val="20"/>
                <w:szCs w:val="20"/>
              </w:rPr>
              <w:t>–</w:t>
            </w:r>
            <w:r>
              <w:rPr>
                <w:rFonts w:cs="Times New Roman"/>
                <w:sz w:val="20"/>
                <w:szCs w:val="20"/>
              </w:rPr>
              <w:t>25 Hz</w:t>
            </w:r>
          </w:p>
        </w:tc>
        <w:tc>
          <w:tcPr>
            <w:tcW w:w="1670" w:type="dxa"/>
          </w:tcPr>
          <w:p w14:paraId="13FA4D71" w14:textId="79349894" w:rsidR="009C6AB2" w:rsidRPr="00CA7FB9" w:rsidRDefault="005111EF" w:rsidP="007A4A3B">
            <w:pPr>
              <w:rPr>
                <w:rFonts w:cs="Times New Roman"/>
                <w:sz w:val="20"/>
                <w:szCs w:val="20"/>
              </w:rPr>
            </w:pPr>
            <w:r>
              <w:rPr>
                <w:rFonts w:cs="Times New Roman"/>
                <w:sz w:val="20"/>
                <w:szCs w:val="20"/>
              </w:rPr>
              <w:t>2</w:t>
            </w:r>
            <w:r w:rsidR="009C6AB2">
              <w:rPr>
                <w:rFonts w:cs="Times New Roman"/>
                <w:sz w:val="20"/>
                <w:szCs w:val="20"/>
              </w:rPr>
              <w:t>0,000</w:t>
            </w:r>
          </w:p>
        </w:tc>
        <w:tc>
          <w:tcPr>
            <w:tcW w:w="1670" w:type="dxa"/>
          </w:tcPr>
          <w:p w14:paraId="04799C6E" w14:textId="744B384D" w:rsidR="009C6AB2" w:rsidRPr="005111EF" w:rsidRDefault="005111EF" w:rsidP="00FB3F64">
            <w:pPr>
              <w:rPr>
                <w:rFonts w:cs="Times New Roman"/>
                <w:i/>
                <w:sz w:val="20"/>
                <w:szCs w:val="20"/>
              </w:rPr>
            </w:pPr>
            <w:r>
              <w:rPr>
                <w:rFonts w:cs="Times New Roman"/>
                <w:sz w:val="20"/>
                <w:szCs w:val="20"/>
              </w:rPr>
              <w:t>2 x 10</w:t>
            </w:r>
            <w:r>
              <w:rPr>
                <w:rFonts w:cs="Times New Roman"/>
                <w:sz w:val="20"/>
                <w:szCs w:val="20"/>
                <w:vertAlign w:val="superscript"/>
              </w:rPr>
              <w:t>4</w:t>
            </w:r>
            <w:r w:rsidRPr="005111EF">
              <w:rPr>
                <w:rFonts w:cs="Times New Roman"/>
                <w:sz w:val="20"/>
                <w:szCs w:val="20"/>
              </w:rPr>
              <w:t>/</w:t>
            </w:r>
            <w:r w:rsidRPr="005111EF">
              <w:rPr>
                <w:rFonts w:cs="Times New Roman"/>
                <w:i/>
                <w:sz w:val="20"/>
                <w:szCs w:val="20"/>
              </w:rPr>
              <w:t>f</w:t>
            </w:r>
          </w:p>
        </w:tc>
        <w:tc>
          <w:tcPr>
            <w:tcW w:w="1670" w:type="dxa"/>
          </w:tcPr>
          <w:p w14:paraId="4872DA2A" w14:textId="676F8E1A" w:rsidR="009C6AB2" w:rsidRPr="00CA7FB9" w:rsidRDefault="005111EF" w:rsidP="00FB3F64">
            <w:pPr>
              <w:rPr>
                <w:rFonts w:cs="Times New Roman"/>
                <w:sz w:val="20"/>
                <w:szCs w:val="20"/>
              </w:rPr>
            </w:pPr>
            <w:r>
              <w:rPr>
                <w:rFonts w:cs="Times New Roman"/>
                <w:sz w:val="20"/>
                <w:szCs w:val="20"/>
              </w:rPr>
              <w:t>2.5 x 10</w:t>
            </w:r>
            <w:r>
              <w:rPr>
                <w:rFonts w:cs="Times New Roman"/>
                <w:sz w:val="20"/>
                <w:szCs w:val="20"/>
                <w:vertAlign w:val="superscript"/>
              </w:rPr>
              <w:t>4</w:t>
            </w:r>
            <w:r w:rsidRPr="005111EF">
              <w:rPr>
                <w:rFonts w:cs="Times New Roman"/>
                <w:sz w:val="20"/>
                <w:szCs w:val="20"/>
              </w:rPr>
              <w:t>/</w:t>
            </w:r>
            <w:r w:rsidRPr="005111EF">
              <w:rPr>
                <w:rFonts w:cs="Times New Roman"/>
                <w:i/>
                <w:sz w:val="20"/>
                <w:szCs w:val="20"/>
              </w:rPr>
              <w:t>f</w:t>
            </w:r>
          </w:p>
        </w:tc>
        <w:tc>
          <w:tcPr>
            <w:tcW w:w="1670" w:type="dxa"/>
          </w:tcPr>
          <w:p w14:paraId="79284B8E"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2332034D" w14:textId="77777777" w:rsidTr="00200F1B">
        <w:trPr>
          <w:trHeight w:val="235"/>
        </w:trPr>
        <w:tc>
          <w:tcPr>
            <w:tcW w:w="1820" w:type="dxa"/>
          </w:tcPr>
          <w:p w14:paraId="6119B157" w14:textId="0D6C939B" w:rsidR="009C6AB2" w:rsidRPr="00CA7FB9" w:rsidRDefault="009C6AB2" w:rsidP="00FB3F64">
            <w:pPr>
              <w:rPr>
                <w:rFonts w:cs="Times New Roman"/>
                <w:sz w:val="20"/>
                <w:szCs w:val="20"/>
              </w:rPr>
            </w:pPr>
            <w:r>
              <w:rPr>
                <w:rFonts w:cs="Times New Roman"/>
                <w:sz w:val="20"/>
                <w:szCs w:val="20"/>
              </w:rPr>
              <w:t>0.025</w:t>
            </w:r>
            <w:r w:rsidR="00487CE9">
              <w:rPr>
                <w:sz w:val="20"/>
                <w:szCs w:val="20"/>
              </w:rPr>
              <w:t>–</w:t>
            </w:r>
            <w:r>
              <w:rPr>
                <w:rFonts w:cs="Times New Roman"/>
                <w:sz w:val="20"/>
                <w:szCs w:val="20"/>
              </w:rPr>
              <w:t>0.8</w:t>
            </w:r>
            <w:r w:rsidR="005111EF">
              <w:rPr>
                <w:rFonts w:cs="Times New Roman"/>
                <w:sz w:val="20"/>
                <w:szCs w:val="20"/>
              </w:rPr>
              <w:t>2</w:t>
            </w:r>
            <w:r>
              <w:rPr>
                <w:rFonts w:cs="Times New Roman"/>
                <w:sz w:val="20"/>
                <w:szCs w:val="20"/>
              </w:rPr>
              <w:t xml:space="preserve"> kHz</w:t>
            </w:r>
          </w:p>
        </w:tc>
        <w:tc>
          <w:tcPr>
            <w:tcW w:w="1670" w:type="dxa"/>
          </w:tcPr>
          <w:p w14:paraId="31B537DD" w14:textId="12DC3693" w:rsidR="009C6AB2" w:rsidRPr="00484193" w:rsidRDefault="005111EF" w:rsidP="00FB3F64">
            <w:pPr>
              <w:rPr>
                <w:rFonts w:cs="Times New Roman"/>
                <w:i/>
                <w:sz w:val="20"/>
                <w:szCs w:val="20"/>
              </w:rPr>
            </w:pPr>
            <w:r>
              <w:rPr>
                <w:rFonts w:cs="Times New Roman"/>
                <w:sz w:val="20"/>
                <w:szCs w:val="20"/>
              </w:rPr>
              <w:t>500</w:t>
            </w:r>
            <w:r w:rsidR="009C6AB2">
              <w:rPr>
                <w:rFonts w:cs="Times New Roman"/>
                <w:sz w:val="20"/>
                <w:szCs w:val="20"/>
              </w:rPr>
              <w:t>/</w:t>
            </w:r>
            <w:r w:rsidR="009C6AB2">
              <w:rPr>
                <w:rFonts w:cs="Times New Roman"/>
                <w:i/>
                <w:sz w:val="20"/>
                <w:szCs w:val="20"/>
              </w:rPr>
              <w:t>f</w:t>
            </w:r>
          </w:p>
        </w:tc>
        <w:tc>
          <w:tcPr>
            <w:tcW w:w="1670" w:type="dxa"/>
          </w:tcPr>
          <w:p w14:paraId="102CEA49" w14:textId="36B2AC2A" w:rsidR="009C6AB2" w:rsidRPr="00484193" w:rsidRDefault="005111EF" w:rsidP="00FB3F64">
            <w:pPr>
              <w:rPr>
                <w:rFonts w:cs="Times New Roman"/>
                <w:i/>
                <w:sz w:val="20"/>
                <w:szCs w:val="20"/>
              </w:rPr>
            </w:pPr>
            <w:r>
              <w:rPr>
                <w:rFonts w:cs="Times New Roman"/>
                <w:sz w:val="20"/>
                <w:szCs w:val="20"/>
              </w:rPr>
              <w:t>20</w:t>
            </w:r>
            <w:r w:rsidR="009C6AB2">
              <w:rPr>
                <w:rFonts w:cs="Times New Roman"/>
                <w:sz w:val="20"/>
                <w:szCs w:val="20"/>
              </w:rPr>
              <w:t>/</w:t>
            </w:r>
            <w:r w:rsidR="009C6AB2">
              <w:rPr>
                <w:rFonts w:cs="Times New Roman"/>
                <w:i/>
                <w:sz w:val="20"/>
                <w:szCs w:val="20"/>
              </w:rPr>
              <w:t>f</w:t>
            </w:r>
          </w:p>
        </w:tc>
        <w:tc>
          <w:tcPr>
            <w:tcW w:w="1670" w:type="dxa"/>
          </w:tcPr>
          <w:p w14:paraId="2624B38F" w14:textId="3DAB6731" w:rsidR="009C6AB2" w:rsidRPr="00CA7FB9" w:rsidRDefault="005111EF" w:rsidP="00FB3F64">
            <w:pPr>
              <w:rPr>
                <w:rFonts w:cs="Times New Roman"/>
                <w:sz w:val="20"/>
                <w:szCs w:val="20"/>
              </w:rPr>
            </w:pPr>
            <w:r>
              <w:rPr>
                <w:rFonts w:cs="Times New Roman"/>
                <w:sz w:val="20"/>
                <w:szCs w:val="20"/>
              </w:rPr>
              <w:t>2</w:t>
            </w:r>
            <w:r w:rsidR="009C6AB2">
              <w:rPr>
                <w:rFonts w:cs="Times New Roman"/>
                <w:sz w:val="20"/>
                <w:szCs w:val="20"/>
              </w:rPr>
              <w:t>5/</w:t>
            </w:r>
            <w:r w:rsidR="009C6AB2">
              <w:rPr>
                <w:rFonts w:cs="Times New Roman"/>
                <w:i/>
                <w:sz w:val="20"/>
                <w:szCs w:val="20"/>
              </w:rPr>
              <w:t>f</w:t>
            </w:r>
          </w:p>
        </w:tc>
        <w:tc>
          <w:tcPr>
            <w:tcW w:w="1670" w:type="dxa"/>
          </w:tcPr>
          <w:p w14:paraId="690941E6"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277BCB34" w14:textId="77777777" w:rsidTr="00200F1B">
        <w:trPr>
          <w:trHeight w:val="235"/>
        </w:trPr>
        <w:tc>
          <w:tcPr>
            <w:tcW w:w="1820" w:type="dxa"/>
          </w:tcPr>
          <w:p w14:paraId="50B56648" w14:textId="05C2E51E" w:rsidR="009C6AB2" w:rsidRPr="00CA7FB9" w:rsidRDefault="009C6AB2" w:rsidP="00FB3F64">
            <w:pPr>
              <w:rPr>
                <w:rFonts w:cs="Times New Roman"/>
                <w:sz w:val="20"/>
                <w:szCs w:val="20"/>
              </w:rPr>
            </w:pPr>
            <w:r>
              <w:rPr>
                <w:rFonts w:cs="Times New Roman"/>
                <w:sz w:val="20"/>
                <w:szCs w:val="20"/>
              </w:rPr>
              <w:t>0.8</w:t>
            </w:r>
            <w:r w:rsidR="005111EF">
              <w:rPr>
                <w:rFonts w:cs="Times New Roman"/>
                <w:sz w:val="20"/>
                <w:szCs w:val="20"/>
              </w:rPr>
              <w:t>2</w:t>
            </w:r>
            <w:r w:rsidR="00487CE9">
              <w:rPr>
                <w:sz w:val="20"/>
                <w:szCs w:val="20"/>
              </w:rPr>
              <w:t>–</w:t>
            </w:r>
            <w:r w:rsidR="005111EF">
              <w:rPr>
                <w:rFonts w:cs="Times New Roman"/>
                <w:sz w:val="20"/>
                <w:szCs w:val="20"/>
              </w:rPr>
              <w:t>65</w:t>
            </w:r>
            <w:r>
              <w:rPr>
                <w:rFonts w:cs="Times New Roman"/>
                <w:sz w:val="20"/>
                <w:szCs w:val="20"/>
              </w:rPr>
              <w:t xml:space="preserve"> kHz</w:t>
            </w:r>
          </w:p>
        </w:tc>
        <w:tc>
          <w:tcPr>
            <w:tcW w:w="1670" w:type="dxa"/>
          </w:tcPr>
          <w:p w14:paraId="5A21B2AB" w14:textId="6C4FEF4A" w:rsidR="009C6AB2" w:rsidRPr="00CA7FB9" w:rsidRDefault="005111EF" w:rsidP="00FB3F64">
            <w:pPr>
              <w:rPr>
                <w:rFonts w:cs="Times New Roman"/>
                <w:sz w:val="20"/>
                <w:szCs w:val="20"/>
              </w:rPr>
            </w:pPr>
            <w:r>
              <w:rPr>
                <w:rFonts w:cs="Times New Roman"/>
                <w:sz w:val="20"/>
                <w:szCs w:val="20"/>
              </w:rPr>
              <w:t>610</w:t>
            </w:r>
          </w:p>
        </w:tc>
        <w:tc>
          <w:tcPr>
            <w:tcW w:w="1670" w:type="dxa"/>
          </w:tcPr>
          <w:p w14:paraId="59D03425" w14:textId="7724351F" w:rsidR="009C6AB2" w:rsidRPr="00CA7FB9" w:rsidRDefault="005111EF" w:rsidP="00FB3F64">
            <w:pPr>
              <w:rPr>
                <w:rFonts w:cs="Times New Roman"/>
                <w:sz w:val="20"/>
                <w:szCs w:val="20"/>
              </w:rPr>
            </w:pPr>
            <w:r>
              <w:rPr>
                <w:rFonts w:cs="Times New Roman"/>
                <w:sz w:val="20"/>
                <w:szCs w:val="20"/>
              </w:rPr>
              <w:t>24.4</w:t>
            </w:r>
          </w:p>
        </w:tc>
        <w:tc>
          <w:tcPr>
            <w:tcW w:w="1670" w:type="dxa"/>
          </w:tcPr>
          <w:p w14:paraId="236D4A1B" w14:textId="02DC8905" w:rsidR="009C6AB2" w:rsidRPr="00CA7FB9" w:rsidRDefault="005111EF" w:rsidP="00FB3F64">
            <w:pPr>
              <w:rPr>
                <w:rFonts w:cs="Times New Roman"/>
                <w:sz w:val="20"/>
                <w:szCs w:val="20"/>
              </w:rPr>
            </w:pPr>
            <w:r>
              <w:rPr>
                <w:rFonts w:cs="Times New Roman"/>
                <w:sz w:val="20"/>
                <w:szCs w:val="20"/>
              </w:rPr>
              <w:t>30.7</w:t>
            </w:r>
          </w:p>
        </w:tc>
        <w:tc>
          <w:tcPr>
            <w:tcW w:w="1670" w:type="dxa"/>
          </w:tcPr>
          <w:p w14:paraId="32C0BF68"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29A07A7C" w14:textId="77777777" w:rsidTr="00200F1B">
        <w:trPr>
          <w:trHeight w:val="235"/>
        </w:trPr>
        <w:tc>
          <w:tcPr>
            <w:tcW w:w="1820" w:type="dxa"/>
          </w:tcPr>
          <w:p w14:paraId="532F5C3C" w14:textId="3F594884" w:rsidR="009C6AB2" w:rsidRPr="00CA7FB9" w:rsidRDefault="005111EF" w:rsidP="00FB3F64">
            <w:pPr>
              <w:rPr>
                <w:rFonts w:cs="Times New Roman"/>
                <w:sz w:val="20"/>
                <w:szCs w:val="20"/>
              </w:rPr>
            </w:pPr>
            <w:r>
              <w:rPr>
                <w:rFonts w:cs="Times New Roman"/>
                <w:sz w:val="20"/>
                <w:szCs w:val="20"/>
              </w:rPr>
              <w:t>0.065</w:t>
            </w:r>
            <w:r w:rsidR="00487CE9">
              <w:rPr>
                <w:sz w:val="20"/>
                <w:szCs w:val="20"/>
              </w:rPr>
              <w:t>–</w:t>
            </w:r>
            <w:r>
              <w:rPr>
                <w:rFonts w:cs="Times New Roman"/>
                <w:sz w:val="20"/>
                <w:szCs w:val="20"/>
              </w:rPr>
              <w:t>1 M</w:t>
            </w:r>
            <w:r w:rsidR="009C6AB2">
              <w:rPr>
                <w:rFonts w:cs="Times New Roman"/>
                <w:sz w:val="20"/>
                <w:szCs w:val="20"/>
              </w:rPr>
              <w:t>Hz</w:t>
            </w:r>
          </w:p>
        </w:tc>
        <w:tc>
          <w:tcPr>
            <w:tcW w:w="1670" w:type="dxa"/>
          </w:tcPr>
          <w:p w14:paraId="5AF25B89" w14:textId="13D0477B" w:rsidR="009C6AB2" w:rsidRPr="00CA7FB9" w:rsidRDefault="005111EF" w:rsidP="00FB3F64">
            <w:pPr>
              <w:rPr>
                <w:rFonts w:cs="Times New Roman"/>
                <w:sz w:val="20"/>
                <w:szCs w:val="20"/>
              </w:rPr>
            </w:pPr>
            <w:r>
              <w:rPr>
                <w:rFonts w:cs="Times New Roman"/>
                <w:sz w:val="20"/>
                <w:szCs w:val="20"/>
              </w:rPr>
              <w:t>610</w:t>
            </w:r>
          </w:p>
        </w:tc>
        <w:tc>
          <w:tcPr>
            <w:tcW w:w="1670" w:type="dxa"/>
          </w:tcPr>
          <w:p w14:paraId="1EAE8CA2" w14:textId="2CB538D7" w:rsidR="009C6AB2" w:rsidRPr="005111EF" w:rsidRDefault="005111EF" w:rsidP="00FB3F64">
            <w:pPr>
              <w:rPr>
                <w:rFonts w:cs="Times New Roman"/>
                <w:i/>
                <w:sz w:val="20"/>
                <w:szCs w:val="20"/>
              </w:rPr>
            </w:pPr>
            <w:r>
              <w:rPr>
                <w:rFonts w:cs="Times New Roman"/>
                <w:sz w:val="20"/>
                <w:szCs w:val="20"/>
              </w:rPr>
              <w:t>1.6/</w:t>
            </w:r>
            <w:r>
              <w:rPr>
                <w:rFonts w:cs="Times New Roman"/>
                <w:i/>
                <w:sz w:val="20"/>
                <w:szCs w:val="20"/>
              </w:rPr>
              <w:t>f</w:t>
            </w:r>
          </w:p>
        </w:tc>
        <w:tc>
          <w:tcPr>
            <w:tcW w:w="1670" w:type="dxa"/>
          </w:tcPr>
          <w:p w14:paraId="2955F1FA" w14:textId="4AD7A9AC" w:rsidR="009C6AB2" w:rsidRPr="005111EF" w:rsidRDefault="005111EF" w:rsidP="00FB3F64">
            <w:pPr>
              <w:rPr>
                <w:rFonts w:cs="Times New Roman"/>
                <w:i/>
                <w:sz w:val="20"/>
                <w:szCs w:val="20"/>
              </w:rPr>
            </w:pPr>
            <w:r>
              <w:rPr>
                <w:rFonts w:cs="Times New Roman"/>
                <w:sz w:val="20"/>
                <w:szCs w:val="20"/>
              </w:rPr>
              <w:t>2.0/</w:t>
            </w:r>
            <w:r>
              <w:rPr>
                <w:rFonts w:cs="Times New Roman"/>
                <w:i/>
                <w:sz w:val="20"/>
                <w:szCs w:val="20"/>
              </w:rPr>
              <w:t>f</w:t>
            </w:r>
          </w:p>
        </w:tc>
        <w:tc>
          <w:tcPr>
            <w:tcW w:w="1670" w:type="dxa"/>
          </w:tcPr>
          <w:p w14:paraId="6130D677"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26F8AAA7" w14:textId="77777777" w:rsidTr="00200F1B">
        <w:trPr>
          <w:trHeight w:val="235"/>
        </w:trPr>
        <w:tc>
          <w:tcPr>
            <w:tcW w:w="1820" w:type="dxa"/>
          </w:tcPr>
          <w:p w14:paraId="0C87A611" w14:textId="2D77FF0F" w:rsidR="009C6AB2" w:rsidRPr="00CA7FB9" w:rsidRDefault="005111EF" w:rsidP="00FB3F64">
            <w:pPr>
              <w:rPr>
                <w:rFonts w:cs="Times New Roman"/>
                <w:sz w:val="20"/>
                <w:szCs w:val="20"/>
              </w:rPr>
            </w:pPr>
            <w:r>
              <w:rPr>
                <w:rFonts w:cs="Times New Roman"/>
                <w:sz w:val="20"/>
                <w:szCs w:val="20"/>
              </w:rPr>
              <w:t>1</w:t>
            </w:r>
            <w:r w:rsidR="00487CE9">
              <w:rPr>
                <w:sz w:val="20"/>
                <w:szCs w:val="20"/>
              </w:rPr>
              <w:t>–</w:t>
            </w:r>
            <w:r w:rsidR="009C6AB2">
              <w:rPr>
                <w:rFonts w:cs="Times New Roman"/>
                <w:sz w:val="20"/>
                <w:szCs w:val="20"/>
              </w:rPr>
              <w:t>1</w:t>
            </w:r>
            <w:r>
              <w:rPr>
                <w:rFonts w:cs="Times New Roman"/>
                <w:sz w:val="20"/>
                <w:szCs w:val="20"/>
              </w:rPr>
              <w:t>0</w:t>
            </w:r>
            <w:r w:rsidR="009C6AB2">
              <w:rPr>
                <w:rFonts w:cs="Times New Roman"/>
                <w:sz w:val="20"/>
                <w:szCs w:val="20"/>
              </w:rPr>
              <w:t xml:space="preserve"> MHz</w:t>
            </w:r>
          </w:p>
        </w:tc>
        <w:tc>
          <w:tcPr>
            <w:tcW w:w="1670" w:type="dxa"/>
          </w:tcPr>
          <w:p w14:paraId="4AFA846F" w14:textId="6B419987" w:rsidR="009C6AB2" w:rsidRPr="005111EF" w:rsidRDefault="005111EF" w:rsidP="00FB3F64">
            <w:pPr>
              <w:rPr>
                <w:rFonts w:cs="Times New Roman"/>
                <w:i/>
                <w:sz w:val="20"/>
                <w:szCs w:val="20"/>
              </w:rPr>
            </w:pPr>
            <w:r>
              <w:rPr>
                <w:rFonts w:cs="Times New Roman"/>
                <w:sz w:val="20"/>
                <w:szCs w:val="20"/>
              </w:rPr>
              <w:t>610/</w:t>
            </w:r>
            <w:r>
              <w:rPr>
                <w:rFonts w:cs="Times New Roman"/>
                <w:i/>
                <w:sz w:val="20"/>
                <w:szCs w:val="20"/>
              </w:rPr>
              <w:t>f</w:t>
            </w:r>
          </w:p>
        </w:tc>
        <w:tc>
          <w:tcPr>
            <w:tcW w:w="1670" w:type="dxa"/>
          </w:tcPr>
          <w:p w14:paraId="07B78140" w14:textId="0AF0BD7B" w:rsidR="009C6AB2" w:rsidRPr="00484193" w:rsidRDefault="005111EF" w:rsidP="00FB3F64">
            <w:pPr>
              <w:rPr>
                <w:rFonts w:cs="Times New Roman"/>
                <w:i/>
                <w:sz w:val="20"/>
                <w:szCs w:val="20"/>
              </w:rPr>
            </w:pPr>
            <w:r>
              <w:rPr>
                <w:rFonts w:cs="Times New Roman"/>
                <w:sz w:val="20"/>
                <w:szCs w:val="20"/>
              </w:rPr>
              <w:t>1.6</w:t>
            </w:r>
            <w:r w:rsidR="009C6AB2">
              <w:rPr>
                <w:rFonts w:cs="Times New Roman"/>
                <w:sz w:val="20"/>
                <w:szCs w:val="20"/>
              </w:rPr>
              <w:t>/</w:t>
            </w:r>
            <w:r w:rsidR="009C6AB2">
              <w:rPr>
                <w:rFonts w:cs="Times New Roman"/>
                <w:i/>
                <w:sz w:val="20"/>
                <w:szCs w:val="20"/>
              </w:rPr>
              <w:t>f</w:t>
            </w:r>
          </w:p>
        </w:tc>
        <w:tc>
          <w:tcPr>
            <w:tcW w:w="1670" w:type="dxa"/>
          </w:tcPr>
          <w:p w14:paraId="25E62F72" w14:textId="21B1E6C7" w:rsidR="009C6AB2" w:rsidRPr="00CA7FB9" w:rsidRDefault="005111EF" w:rsidP="00FB3F64">
            <w:pPr>
              <w:rPr>
                <w:rFonts w:cs="Times New Roman"/>
                <w:sz w:val="20"/>
                <w:szCs w:val="20"/>
              </w:rPr>
            </w:pPr>
            <w:r>
              <w:rPr>
                <w:rFonts w:cs="Times New Roman"/>
                <w:sz w:val="20"/>
                <w:szCs w:val="20"/>
              </w:rPr>
              <w:t>2.0/</w:t>
            </w:r>
            <w:r>
              <w:rPr>
                <w:rFonts w:cs="Times New Roman"/>
                <w:i/>
                <w:sz w:val="20"/>
                <w:szCs w:val="20"/>
              </w:rPr>
              <w:t>f</w:t>
            </w:r>
          </w:p>
        </w:tc>
        <w:tc>
          <w:tcPr>
            <w:tcW w:w="1670" w:type="dxa"/>
          </w:tcPr>
          <w:p w14:paraId="0AB6EEED" w14:textId="77777777" w:rsidR="009C6AB2" w:rsidRPr="00CA7FB9" w:rsidRDefault="009C6AB2" w:rsidP="00FB3F64">
            <w:pPr>
              <w:rPr>
                <w:rFonts w:cs="Times New Roman"/>
                <w:sz w:val="20"/>
                <w:szCs w:val="20"/>
              </w:rPr>
            </w:pPr>
            <w:r>
              <w:rPr>
                <w:rFonts w:cs="Times New Roman"/>
                <w:sz w:val="20"/>
                <w:szCs w:val="20"/>
              </w:rPr>
              <w:t>-</w:t>
            </w:r>
          </w:p>
        </w:tc>
      </w:tr>
      <w:tr w:rsidR="009C6AB2" w:rsidRPr="00CA7FB9" w14:paraId="18592594" w14:textId="77777777" w:rsidTr="00200F1B">
        <w:trPr>
          <w:trHeight w:val="235"/>
        </w:trPr>
        <w:tc>
          <w:tcPr>
            <w:tcW w:w="1820" w:type="dxa"/>
          </w:tcPr>
          <w:p w14:paraId="2CB7971F" w14:textId="70FD653F" w:rsidR="009C6AB2" w:rsidRPr="00CA7FB9" w:rsidRDefault="009C6AB2" w:rsidP="00FB3F64">
            <w:pPr>
              <w:rPr>
                <w:rFonts w:cs="Times New Roman"/>
                <w:sz w:val="20"/>
                <w:szCs w:val="20"/>
              </w:rPr>
            </w:pPr>
            <w:r>
              <w:rPr>
                <w:rFonts w:cs="Times New Roman"/>
                <w:sz w:val="20"/>
                <w:szCs w:val="20"/>
              </w:rPr>
              <w:t>1</w:t>
            </w:r>
            <w:r w:rsidR="005111EF">
              <w:rPr>
                <w:rFonts w:cs="Times New Roman"/>
                <w:sz w:val="20"/>
                <w:szCs w:val="20"/>
              </w:rPr>
              <w:t>0</w:t>
            </w:r>
            <w:r w:rsidR="00487CE9">
              <w:rPr>
                <w:sz w:val="20"/>
                <w:szCs w:val="20"/>
              </w:rPr>
              <w:t>–</w:t>
            </w:r>
            <w:r w:rsidR="005111EF">
              <w:rPr>
                <w:rFonts w:cs="Times New Roman"/>
                <w:sz w:val="20"/>
                <w:szCs w:val="20"/>
              </w:rPr>
              <w:t>40</w:t>
            </w:r>
            <w:r>
              <w:rPr>
                <w:rFonts w:cs="Times New Roman"/>
                <w:sz w:val="20"/>
                <w:szCs w:val="20"/>
              </w:rPr>
              <w:t>0 MHz</w:t>
            </w:r>
          </w:p>
        </w:tc>
        <w:tc>
          <w:tcPr>
            <w:tcW w:w="1670" w:type="dxa"/>
          </w:tcPr>
          <w:p w14:paraId="1A2D3A8F" w14:textId="14B684F6" w:rsidR="009C6AB2" w:rsidRPr="00484193" w:rsidRDefault="005111EF" w:rsidP="00FB3F64">
            <w:pPr>
              <w:rPr>
                <w:rFonts w:cs="Times New Roman"/>
                <w:i/>
                <w:sz w:val="20"/>
                <w:szCs w:val="20"/>
                <w:vertAlign w:val="superscript"/>
              </w:rPr>
            </w:pPr>
            <w:r>
              <w:rPr>
                <w:rFonts w:cs="Times New Roman"/>
                <w:sz w:val="20"/>
                <w:szCs w:val="20"/>
              </w:rPr>
              <w:t>61</w:t>
            </w:r>
          </w:p>
        </w:tc>
        <w:tc>
          <w:tcPr>
            <w:tcW w:w="1670" w:type="dxa"/>
          </w:tcPr>
          <w:p w14:paraId="542C3F90" w14:textId="05040E17" w:rsidR="009C6AB2" w:rsidRPr="00CA7FB9" w:rsidRDefault="005111EF" w:rsidP="00FB3F64">
            <w:pPr>
              <w:rPr>
                <w:rFonts w:cs="Times New Roman"/>
                <w:sz w:val="20"/>
                <w:szCs w:val="20"/>
              </w:rPr>
            </w:pPr>
            <w:r>
              <w:rPr>
                <w:rFonts w:cs="Times New Roman"/>
                <w:sz w:val="20"/>
                <w:szCs w:val="20"/>
              </w:rPr>
              <w:t>0.16</w:t>
            </w:r>
          </w:p>
        </w:tc>
        <w:tc>
          <w:tcPr>
            <w:tcW w:w="1670" w:type="dxa"/>
          </w:tcPr>
          <w:p w14:paraId="408F5952" w14:textId="34397A15" w:rsidR="009C6AB2" w:rsidRPr="00CA7FB9" w:rsidRDefault="005111EF" w:rsidP="00FB3F64">
            <w:pPr>
              <w:rPr>
                <w:rFonts w:cs="Times New Roman"/>
                <w:sz w:val="20"/>
                <w:szCs w:val="20"/>
              </w:rPr>
            </w:pPr>
            <w:r>
              <w:rPr>
                <w:rFonts w:cs="Times New Roman"/>
                <w:sz w:val="20"/>
                <w:szCs w:val="20"/>
              </w:rPr>
              <w:t>0.2</w:t>
            </w:r>
          </w:p>
        </w:tc>
        <w:tc>
          <w:tcPr>
            <w:tcW w:w="1670" w:type="dxa"/>
          </w:tcPr>
          <w:p w14:paraId="566268BE" w14:textId="372D3EE2" w:rsidR="009C6AB2" w:rsidRPr="00CA7FB9" w:rsidRDefault="005111EF" w:rsidP="00FB3F64">
            <w:pPr>
              <w:rPr>
                <w:rFonts w:cs="Times New Roman"/>
                <w:sz w:val="20"/>
                <w:szCs w:val="20"/>
              </w:rPr>
            </w:pPr>
            <w:r>
              <w:rPr>
                <w:rFonts w:cs="Times New Roman"/>
                <w:sz w:val="20"/>
                <w:szCs w:val="20"/>
              </w:rPr>
              <w:t>10</w:t>
            </w:r>
          </w:p>
        </w:tc>
      </w:tr>
      <w:tr w:rsidR="009C6AB2" w:rsidRPr="00CA7FB9" w14:paraId="3193D20C" w14:textId="77777777" w:rsidTr="00200F1B">
        <w:trPr>
          <w:trHeight w:val="235"/>
        </w:trPr>
        <w:tc>
          <w:tcPr>
            <w:tcW w:w="1820" w:type="dxa"/>
          </w:tcPr>
          <w:p w14:paraId="19CB2C8B" w14:textId="3423E9D7" w:rsidR="009C6AB2" w:rsidRPr="00CA7FB9" w:rsidRDefault="009C6AB2" w:rsidP="00FB3F64">
            <w:pPr>
              <w:rPr>
                <w:rFonts w:cs="Times New Roman"/>
                <w:sz w:val="20"/>
                <w:szCs w:val="20"/>
              </w:rPr>
            </w:pPr>
            <w:r>
              <w:rPr>
                <w:rFonts w:cs="Times New Roman"/>
                <w:sz w:val="20"/>
                <w:szCs w:val="20"/>
              </w:rPr>
              <w:lastRenderedPageBreak/>
              <w:t>400</w:t>
            </w:r>
            <w:r w:rsidR="00487CE9">
              <w:rPr>
                <w:sz w:val="20"/>
                <w:szCs w:val="20"/>
              </w:rPr>
              <w:t>–</w:t>
            </w:r>
            <w:r>
              <w:rPr>
                <w:rFonts w:cs="Times New Roman"/>
                <w:sz w:val="20"/>
                <w:szCs w:val="20"/>
              </w:rPr>
              <w:t>2,000 MHz</w:t>
            </w:r>
          </w:p>
        </w:tc>
        <w:tc>
          <w:tcPr>
            <w:tcW w:w="1670" w:type="dxa"/>
          </w:tcPr>
          <w:p w14:paraId="22787E81" w14:textId="4F6E73A1" w:rsidR="009C6AB2" w:rsidRPr="00CA7FB9" w:rsidRDefault="005111EF" w:rsidP="00FB3F64">
            <w:pPr>
              <w:rPr>
                <w:rFonts w:cs="Times New Roman"/>
                <w:sz w:val="20"/>
                <w:szCs w:val="20"/>
              </w:rPr>
            </w:pPr>
            <w:r>
              <w:rPr>
                <w:rFonts w:cs="Times New Roman"/>
                <w:sz w:val="20"/>
                <w:szCs w:val="20"/>
              </w:rPr>
              <w:t>3</w:t>
            </w:r>
            <w:r w:rsidR="009C6AB2">
              <w:rPr>
                <w:rFonts w:cs="Times New Roman"/>
                <w:i/>
                <w:sz w:val="20"/>
                <w:szCs w:val="20"/>
              </w:rPr>
              <w:t>f</w:t>
            </w:r>
            <w:r w:rsidR="009C6AB2">
              <w:rPr>
                <w:rFonts w:cs="Times New Roman"/>
                <w:i/>
                <w:sz w:val="20"/>
                <w:szCs w:val="20"/>
                <w:vertAlign w:val="superscript"/>
              </w:rPr>
              <w:t>½</w:t>
            </w:r>
          </w:p>
        </w:tc>
        <w:tc>
          <w:tcPr>
            <w:tcW w:w="1670" w:type="dxa"/>
          </w:tcPr>
          <w:p w14:paraId="0399E293" w14:textId="5BE9B492" w:rsidR="009C6AB2" w:rsidRPr="00484193" w:rsidRDefault="005111EF" w:rsidP="00FB3F64">
            <w:pPr>
              <w:rPr>
                <w:rFonts w:cs="Times New Roman"/>
                <w:i/>
                <w:sz w:val="20"/>
                <w:szCs w:val="20"/>
              </w:rPr>
            </w:pPr>
            <w:r>
              <w:rPr>
                <w:rFonts w:cs="Times New Roman"/>
                <w:sz w:val="20"/>
                <w:szCs w:val="20"/>
              </w:rPr>
              <w:t>0.008</w:t>
            </w:r>
            <w:r w:rsidR="009C6AB2">
              <w:rPr>
                <w:rFonts w:cs="Times New Roman"/>
                <w:i/>
                <w:sz w:val="20"/>
                <w:szCs w:val="20"/>
              </w:rPr>
              <w:t>f</w:t>
            </w:r>
            <w:r w:rsidR="009C6AB2">
              <w:rPr>
                <w:rFonts w:cs="Times New Roman"/>
                <w:i/>
                <w:sz w:val="20"/>
                <w:szCs w:val="20"/>
                <w:vertAlign w:val="superscript"/>
              </w:rPr>
              <w:t>½</w:t>
            </w:r>
          </w:p>
        </w:tc>
        <w:tc>
          <w:tcPr>
            <w:tcW w:w="1670" w:type="dxa"/>
          </w:tcPr>
          <w:p w14:paraId="4195CE5C" w14:textId="334230C4" w:rsidR="009C6AB2" w:rsidRPr="00CA7FB9" w:rsidRDefault="005111EF" w:rsidP="00FB3F64">
            <w:pPr>
              <w:rPr>
                <w:rFonts w:cs="Times New Roman"/>
                <w:sz w:val="20"/>
                <w:szCs w:val="20"/>
              </w:rPr>
            </w:pPr>
            <w:r>
              <w:rPr>
                <w:rFonts w:cs="Times New Roman"/>
                <w:sz w:val="20"/>
                <w:szCs w:val="20"/>
              </w:rPr>
              <w:t>0.01</w:t>
            </w:r>
            <w:r w:rsidR="009C6AB2">
              <w:rPr>
                <w:rFonts w:cs="Times New Roman"/>
                <w:i/>
                <w:sz w:val="20"/>
                <w:szCs w:val="20"/>
              </w:rPr>
              <w:t>f</w:t>
            </w:r>
            <w:r w:rsidR="009C6AB2">
              <w:rPr>
                <w:rFonts w:cs="Times New Roman"/>
                <w:i/>
                <w:sz w:val="20"/>
                <w:szCs w:val="20"/>
                <w:vertAlign w:val="superscript"/>
              </w:rPr>
              <w:t>½</w:t>
            </w:r>
          </w:p>
        </w:tc>
        <w:tc>
          <w:tcPr>
            <w:tcW w:w="1670" w:type="dxa"/>
          </w:tcPr>
          <w:p w14:paraId="2B1A78AA" w14:textId="2BABFBD8" w:rsidR="009C6AB2" w:rsidRPr="00484193" w:rsidRDefault="009C6AB2" w:rsidP="00FB3F64">
            <w:pPr>
              <w:rPr>
                <w:rFonts w:cs="Times New Roman"/>
                <w:sz w:val="20"/>
                <w:szCs w:val="20"/>
              </w:rPr>
            </w:pPr>
            <w:r>
              <w:rPr>
                <w:rFonts w:cs="Times New Roman"/>
                <w:i/>
                <w:sz w:val="20"/>
                <w:szCs w:val="20"/>
              </w:rPr>
              <w:t>f</w:t>
            </w:r>
            <w:r w:rsidR="005111EF">
              <w:rPr>
                <w:rFonts w:cs="Times New Roman"/>
                <w:sz w:val="20"/>
                <w:szCs w:val="20"/>
              </w:rPr>
              <w:t>/40</w:t>
            </w:r>
          </w:p>
        </w:tc>
      </w:tr>
      <w:tr w:rsidR="009C6AB2" w:rsidRPr="00CA7FB9" w14:paraId="128A6585" w14:textId="77777777" w:rsidTr="00200F1B">
        <w:trPr>
          <w:trHeight w:val="235"/>
        </w:trPr>
        <w:tc>
          <w:tcPr>
            <w:tcW w:w="1820" w:type="dxa"/>
          </w:tcPr>
          <w:p w14:paraId="0EEDEA5B" w14:textId="6821908A" w:rsidR="009C6AB2" w:rsidRPr="00CA7FB9" w:rsidRDefault="009C6AB2" w:rsidP="00FB3F64">
            <w:pPr>
              <w:rPr>
                <w:rFonts w:cs="Times New Roman"/>
                <w:sz w:val="20"/>
                <w:szCs w:val="20"/>
              </w:rPr>
            </w:pPr>
            <w:r>
              <w:rPr>
                <w:rFonts w:cs="Times New Roman"/>
                <w:sz w:val="20"/>
                <w:szCs w:val="20"/>
              </w:rPr>
              <w:t>2</w:t>
            </w:r>
            <w:r w:rsidR="00487CE9">
              <w:rPr>
                <w:sz w:val="20"/>
                <w:szCs w:val="20"/>
              </w:rPr>
              <w:t>–</w:t>
            </w:r>
            <w:r>
              <w:rPr>
                <w:rFonts w:cs="Times New Roman"/>
                <w:sz w:val="20"/>
                <w:szCs w:val="20"/>
              </w:rPr>
              <w:t>300 GHz</w:t>
            </w:r>
          </w:p>
        </w:tc>
        <w:tc>
          <w:tcPr>
            <w:tcW w:w="1670" w:type="dxa"/>
          </w:tcPr>
          <w:p w14:paraId="58447049" w14:textId="526C1478" w:rsidR="009C6AB2" w:rsidRPr="00CA7FB9" w:rsidRDefault="005111EF" w:rsidP="00FB3F64">
            <w:pPr>
              <w:rPr>
                <w:rFonts w:cs="Times New Roman"/>
                <w:sz w:val="20"/>
                <w:szCs w:val="20"/>
              </w:rPr>
            </w:pPr>
            <w:r>
              <w:rPr>
                <w:rFonts w:cs="Times New Roman"/>
                <w:sz w:val="20"/>
                <w:szCs w:val="20"/>
              </w:rPr>
              <w:t>137</w:t>
            </w:r>
          </w:p>
        </w:tc>
        <w:tc>
          <w:tcPr>
            <w:tcW w:w="1670" w:type="dxa"/>
          </w:tcPr>
          <w:p w14:paraId="54948872" w14:textId="00EB1A08" w:rsidR="009C6AB2" w:rsidRPr="00CA7FB9" w:rsidRDefault="005111EF" w:rsidP="00FB3F64">
            <w:pPr>
              <w:rPr>
                <w:rFonts w:cs="Times New Roman"/>
                <w:sz w:val="20"/>
                <w:szCs w:val="20"/>
              </w:rPr>
            </w:pPr>
            <w:r>
              <w:rPr>
                <w:rFonts w:cs="Times New Roman"/>
                <w:sz w:val="20"/>
                <w:szCs w:val="20"/>
              </w:rPr>
              <w:t>0.36</w:t>
            </w:r>
          </w:p>
        </w:tc>
        <w:tc>
          <w:tcPr>
            <w:tcW w:w="1670" w:type="dxa"/>
          </w:tcPr>
          <w:p w14:paraId="614354C7" w14:textId="754E6FE9" w:rsidR="009C6AB2" w:rsidRPr="00CA7FB9" w:rsidRDefault="005111EF" w:rsidP="00FB3F64">
            <w:pPr>
              <w:rPr>
                <w:rFonts w:cs="Times New Roman"/>
                <w:sz w:val="20"/>
                <w:szCs w:val="20"/>
              </w:rPr>
            </w:pPr>
            <w:r>
              <w:rPr>
                <w:rFonts w:cs="Times New Roman"/>
                <w:sz w:val="20"/>
                <w:szCs w:val="20"/>
              </w:rPr>
              <w:t>0.45</w:t>
            </w:r>
          </w:p>
        </w:tc>
        <w:tc>
          <w:tcPr>
            <w:tcW w:w="1670" w:type="dxa"/>
          </w:tcPr>
          <w:p w14:paraId="6F184E8D" w14:textId="03C06926" w:rsidR="009C6AB2" w:rsidRPr="00CA7FB9" w:rsidRDefault="005111EF" w:rsidP="00FB3F64">
            <w:pPr>
              <w:rPr>
                <w:rFonts w:cs="Times New Roman"/>
                <w:sz w:val="20"/>
                <w:szCs w:val="20"/>
              </w:rPr>
            </w:pPr>
            <w:r>
              <w:rPr>
                <w:rFonts w:cs="Times New Roman"/>
                <w:sz w:val="20"/>
                <w:szCs w:val="20"/>
              </w:rPr>
              <w:t>50</w:t>
            </w:r>
          </w:p>
        </w:tc>
      </w:tr>
    </w:tbl>
    <w:p w14:paraId="6E7592FA" w14:textId="77777777" w:rsidR="009C6AB2" w:rsidRDefault="009C6AB2" w:rsidP="009C6AB2">
      <w:pPr>
        <w:ind w:left="567" w:hanging="567"/>
        <w:jc w:val="center"/>
      </w:pPr>
    </w:p>
    <w:p w14:paraId="622EF601" w14:textId="77777777" w:rsidR="005111EF" w:rsidRDefault="005111EF" w:rsidP="005111EF">
      <w:pPr>
        <w:ind w:left="567" w:hanging="567"/>
        <w:jc w:val="both"/>
      </w:pPr>
      <w:r w:rsidRPr="005111EF">
        <w:t xml:space="preserve">Note: </w:t>
      </w:r>
    </w:p>
    <w:p w14:paraId="2E190B36" w14:textId="77777777" w:rsidR="005111EF" w:rsidRDefault="005111EF" w:rsidP="005111EF">
      <w:pPr>
        <w:ind w:left="567" w:hanging="567"/>
        <w:jc w:val="both"/>
      </w:pPr>
    </w:p>
    <w:p w14:paraId="7159C966" w14:textId="77777777" w:rsidR="005111EF" w:rsidRDefault="005111EF" w:rsidP="005111EF">
      <w:pPr>
        <w:ind w:left="567" w:hanging="567"/>
        <w:jc w:val="both"/>
      </w:pPr>
      <w:r w:rsidRPr="005111EF">
        <w:t xml:space="preserve">1. </w:t>
      </w:r>
      <w:r>
        <w:tab/>
      </w:r>
      <w:r w:rsidRPr="005111EF">
        <w:rPr>
          <w:i/>
        </w:rPr>
        <w:t>f</w:t>
      </w:r>
      <w:r w:rsidRPr="005111EF">
        <w:t xml:space="preserve"> as indicated in the frequency range column. </w:t>
      </w:r>
    </w:p>
    <w:p w14:paraId="3DBE9D4D" w14:textId="77777777" w:rsidR="005111EF" w:rsidRDefault="005111EF" w:rsidP="005111EF">
      <w:pPr>
        <w:ind w:left="567" w:hanging="567"/>
        <w:jc w:val="both"/>
      </w:pPr>
      <w:r w:rsidRPr="005111EF">
        <w:t xml:space="preserve">2. </w:t>
      </w:r>
      <w:r>
        <w:tab/>
      </w:r>
      <w:r w:rsidRPr="005111EF">
        <w:t xml:space="preserve">Provided that basic restrictions are met and adverse indirect effects can be excluded, field strength values can be exceeded. </w:t>
      </w:r>
    </w:p>
    <w:p w14:paraId="3BB1E6E9" w14:textId="77777777" w:rsidR="005111EF" w:rsidRDefault="005111EF" w:rsidP="005111EF">
      <w:pPr>
        <w:ind w:left="567" w:hanging="567"/>
        <w:jc w:val="both"/>
      </w:pPr>
      <w:r w:rsidRPr="005111EF">
        <w:t xml:space="preserve">3. </w:t>
      </w:r>
      <w:r>
        <w:tab/>
      </w:r>
      <w:r w:rsidRPr="005111EF">
        <w:t xml:space="preserve">For frequencies between 100 kHz and 10 GHz, </w:t>
      </w:r>
      <w:r w:rsidRPr="005111EF">
        <w:rPr>
          <w:i/>
        </w:rPr>
        <w:t>S</w:t>
      </w:r>
      <w:r w:rsidRPr="005111EF">
        <w:t xml:space="preserve">eq, E2, H2, and B2 are to be averaged over any 6-min period. </w:t>
      </w:r>
    </w:p>
    <w:p w14:paraId="192E26AE" w14:textId="77777777" w:rsidR="005111EF" w:rsidRDefault="005111EF" w:rsidP="005111EF">
      <w:pPr>
        <w:ind w:left="567" w:hanging="567"/>
        <w:jc w:val="both"/>
      </w:pPr>
      <w:r w:rsidRPr="005111EF">
        <w:t xml:space="preserve">4. </w:t>
      </w:r>
      <w:r>
        <w:tab/>
      </w:r>
      <w:r w:rsidRPr="005111EF">
        <w:t xml:space="preserve">For peak values at frequencies up to 100 kHz see Table 4, note 3. </w:t>
      </w:r>
    </w:p>
    <w:p w14:paraId="13EFCA34" w14:textId="77777777" w:rsidR="005111EF" w:rsidRDefault="005111EF" w:rsidP="005111EF">
      <w:pPr>
        <w:ind w:left="567" w:hanging="567"/>
        <w:jc w:val="both"/>
      </w:pPr>
      <w:r w:rsidRPr="005111EF">
        <w:t xml:space="preserve">5. </w:t>
      </w:r>
      <w:r>
        <w:tab/>
      </w:r>
      <w:r w:rsidRPr="005111EF">
        <w:t xml:space="preserve">For peak values at frequencies exceeding 100 kHz see Figs. 1 and 2. Between 100 kHz and 10 MHz, peak values for the field strengths are obtained by interpolation from the 1.5-fold peak at 100 kHz to the 32-fold peak at 10 MHz. For frequencies exceeding 10 MHz it is suggested that the peak equivalent plane wave power density, as averaged over the pulse width, does not exceed 1,000 times the </w:t>
      </w:r>
      <w:r w:rsidRPr="005111EF">
        <w:rPr>
          <w:i/>
        </w:rPr>
        <w:t>S</w:t>
      </w:r>
      <w:r w:rsidRPr="005111EF">
        <w:t xml:space="preserve">eq restrictions, or that the field strength does not exceed 32 times the field strength exposure levels given in the table. </w:t>
      </w:r>
    </w:p>
    <w:p w14:paraId="1D669358" w14:textId="77777777" w:rsidR="005111EF" w:rsidRDefault="005111EF" w:rsidP="005111EF">
      <w:pPr>
        <w:ind w:left="567" w:hanging="567"/>
        <w:jc w:val="both"/>
      </w:pPr>
      <w:r w:rsidRPr="005111EF">
        <w:t xml:space="preserve">6. </w:t>
      </w:r>
      <w:r>
        <w:tab/>
      </w:r>
      <w:r w:rsidRPr="005111EF">
        <w:t>For frequencies exceeding 10 GHz, Seq, E2, H2, and B2 are to be averaged over any 68/</w:t>
      </w:r>
      <w:r w:rsidRPr="005111EF">
        <w:rPr>
          <w:i/>
        </w:rPr>
        <w:t xml:space="preserve">f </w:t>
      </w:r>
      <w:r w:rsidRPr="005111EF">
        <w:t>1.05-min period (</w:t>
      </w:r>
      <w:r w:rsidRPr="005111EF">
        <w:rPr>
          <w:i/>
        </w:rPr>
        <w:t>f</w:t>
      </w:r>
      <w:r w:rsidRPr="005111EF">
        <w:t xml:space="preserve"> in GHz). </w:t>
      </w:r>
    </w:p>
    <w:p w14:paraId="6309F5F7" w14:textId="2265F59E" w:rsidR="005111EF" w:rsidRDefault="005111EF" w:rsidP="005111EF">
      <w:pPr>
        <w:ind w:left="567" w:hanging="567"/>
        <w:jc w:val="both"/>
      </w:pPr>
      <w:r w:rsidRPr="005111EF">
        <w:t xml:space="preserve">7. </w:t>
      </w:r>
      <w:r>
        <w:tab/>
      </w:r>
      <w:r w:rsidRPr="005111EF">
        <w:t>No E-field value is provided for frequencies, 1 Hz, which are effectively static electric fields. Electric shock from low impedance sources is prevented by established electrical safety procedures for such equipment</w:t>
      </w:r>
      <w:r w:rsidR="00393C85">
        <w:t>.</w:t>
      </w:r>
    </w:p>
    <w:p w14:paraId="3C8C7A4D" w14:textId="77777777" w:rsidR="0087508B" w:rsidRPr="00897F53" w:rsidRDefault="0087508B" w:rsidP="0087508B">
      <w:pPr>
        <w:pStyle w:val="REG-P0"/>
      </w:pPr>
    </w:p>
    <w:sectPr w:rsidR="0087508B" w:rsidRPr="00897F53" w:rsidSect="00EF7E89">
      <w:headerReference w:type="default" r:id="rId10"/>
      <w:headerReference w:type="firs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18019" w14:textId="77777777" w:rsidR="001E399B" w:rsidRDefault="001E399B">
      <w:r>
        <w:separator/>
      </w:r>
    </w:p>
  </w:endnote>
  <w:endnote w:type="continuationSeparator" w:id="0">
    <w:p w14:paraId="01E81C7A" w14:textId="77777777" w:rsidR="001E399B" w:rsidRDefault="001E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9A1E0" w14:textId="77777777" w:rsidR="001E399B" w:rsidRDefault="001E399B">
      <w:r>
        <w:separator/>
      </w:r>
    </w:p>
  </w:footnote>
  <w:footnote w:type="continuationSeparator" w:id="0">
    <w:p w14:paraId="4D04A868" w14:textId="77777777" w:rsidR="001E399B" w:rsidRDefault="001E3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436F" w14:textId="49D79BDF" w:rsidR="00FB3F64" w:rsidRPr="000073EE" w:rsidRDefault="00FB3F64"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E1A5C8F" wp14:editId="2DAEFB4F">
              <wp:simplePos x="0" y="0"/>
              <wp:positionH relativeFrom="column">
                <wp:posOffset>-965200</wp:posOffset>
              </wp:positionH>
              <wp:positionV relativeFrom="page">
                <wp:posOffset>0</wp:posOffset>
              </wp:positionV>
              <wp:extent cx="7322185" cy="10681335"/>
              <wp:effectExtent l="120650" t="114300" r="120015" b="12001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4"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BDA34AB" id="Group 6" o:spid="_x0000_s1026" style="position:absolute;margin-left:-76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noProof w:val="0"/>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noProof w:val="0"/>
        <w:sz w:val="16"/>
        <w:szCs w:val="16"/>
      </w:rPr>
      <w:fldChar w:fldCharType="separate"/>
    </w:r>
    <w:r w:rsidR="00A35D96">
      <w:rPr>
        <w:rFonts w:ascii="Arial" w:hAnsi="Arial" w:cs="Arial"/>
        <w:b/>
        <w:sz w:val="16"/>
        <w:szCs w:val="16"/>
      </w:rPr>
      <w:t>9</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7FCED82E" w14:textId="77777777" w:rsidR="00FB3F64" w:rsidRPr="00F25922" w:rsidRDefault="00FB3F64" w:rsidP="00F25922">
    <w:pPr>
      <w:pStyle w:val="REG-PHA"/>
    </w:pPr>
    <w:r w:rsidRPr="00F25922">
      <w:t>REGULATIONS</w:t>
    </w:r>
  </w:p>
  <w:p w14:paraId="3D485B6A" w14:textId="1B24B6B6" w:rsidR="00FB3F64" w:rsidRDefault="00FB3F64" w:rsidP="00504C23">
    <w:pPr>
      <w:pStyle w:val="REG-PHb"/>
      <w:spacing w:after="120"/>
    </w:pPr>
    <w:r>
      <w:t>Atomic Energy and Radiation Protection Act 5 of 2005</w:t>
    </w:r>
  </w:p>
  <w:p w14:paraId="2756DCA9" w14:textId="5401F66E" w:rsidR="00FB3F64" w:rsidRPr="00EF7E89" w:rsidRDefault="00FB3F64" w:rsidP="00F25922">
    <w:pPr>
      <w:pStyle w:val="REG-PHb"/>
    </w:pPr>
    <w:r>
      <w:t>Non-Ionising Radiation Regulations</w:t>
    </w:r>
  </w:p>
  <w:p w14:paraId="4A5C0201" w14:textId="77777777" w:rsidR="00FB3F64" w:rsidRPr="00F25922" w:rsidRDefault="00FB3F64"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6EE1" w14:textId="77777777" w:rsidR="00FB3F64" w:rsidRPr="00BA6B35" w:rsidRDefault="00FB3F64"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875532422">
    <w:abstractNumId w:val="0"/>
  </w:num>
  <w:num w:numId="2" w16cid:durableId="1510754956">
    <w:abstractNumId w:val="4"/>
  </w:num>
  <w:num w:numId="3" w16cid:durableId="874806557">
    <w:abstractNumId w:val="1"/>
  </w:num>
  <w:num w:numId="4" w16cid:durableId="258103791">
    <w:abstractNumId w:val="2"/>
  </w:num>
  <w:num w:numId="5" w16cid:durableId="135981145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6"/>
  <w:embedSystemFonts/>
  <w:bordersDoNotSurroundHeader/>
  <w:bordersDoNotSurroundFooter/>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yNzI2MjAzMDc2NzRW0lEKTi0uzszPAykwqQUAtUe0pCwAAAA="/>
  </w:docVars>
  <w:rsids>
    <w:rsidRoot w:val="0023757D"/>
    <w:rsid w:val="00000812"/>
    <w:rsid w:val="00003730"/>
    <w:rsid w:val="00003DCF"/>
    <w:rsid w:val="00004F6B"/>
    <w:rsid w:val="000052A2"/>
    <w:rsid w:val="00005485"/>
    <w:rsid w:val="00005680"/>
    <w:rsid w:val="00005EE8"/>
    <w:rsid w:val="000073EE"/>
    <w:rsid w:val="0001088D"/>
    <w:rsid w:val="00010B81"/>
    <w:rsid w:val="00011522"/>
    <w:rsid w:val="000133A8"/>
    <w:rsid w:val="00017719"/>
    <w:rsid w:val="00023D2F"/>
    <w:rsid w:val="000242FF"/>
    <w:rsid w:val="00024D3E"/>
    <w:rsid w:val="00034949"/>
    <w:rsid w:val="00034B64"/>
    <w:rsid w:val="000420FF"/>
    <w:rsid w:val="000430EF"/>
    <w:rsid w:val="00044972"/>
    <w:rsid w:val="00045A94"/>
    <w:rsid w:val="00055D23"/>
    <w:rsid w:val="00056F73"/>
    <w:rsid w:val="000608EE"/>
    <w:rsid w:val="000614EF"/>
    <w:rsid w:val="000622BB"/>
    <w:rsid w:val="000668CD"/>
    <w:rsid w:val="00066DEF"/>
    <w:rsid w:val="0007067C"/>
    <w:rsid w:val="000710ED"/>
    <w:rsid w:val="000744EC"/>
    <w:rsid w:val="00074AFC"/>
    <w:rsid w:val="000757E1"/>
    <w:rsid w:val="00077C38"/>
    <w:rsid w:val="00077C3C"/>
    <w:rsid w:val="00077CC8"/>
    <w:rsid w:val="00080C29"/>
    <w:rsid w:val="00080C45"/>
    <w:rsid w:val="000814D8"/>
    <w:rsid w:val="000835C8"/>
    <w:rsid w:val="00084A4D"/>
    <w:rsid w:val="000878E9"/>
    <w:rsid w:val="000903F9"/>
    <w:rsid w:val="000937B4"/>
    <w:rsid w:val="000A2439"/>
    <w:rsid w:val="000A4D98"/>
    <w:rsid w:val="000A6259"/>
    <w:rsid w:val="000B26CE"/>
    <w:rsid w:val="000B462F"/>
    <w:rsid w:val="000B4FB6"/>
    <w:rsid w:val="000B54EB"/>
    <w:rsid w:val="000B60FA"/>
    <w:rsid w:val="000C01AC"/>
    <w:rsid w:val="000C2C80"/>
    <w:rsid w:val="000C416E"/>
    <w:rsid w:val="000C5263"/>
    <w:rsid w:val="000D0A6D"/>
    <w:rsid w:val="000D3B3A"/>
    <w:rsid w:val="000D431E"/>
    <w:rsid w:val="000D61EB"/>
    <w:rsid w:val="000D7B8D"/>
    <w:rsid w:val="000E21FC"/>
    <w:rsid w:val="000E427F"/>
    <w:rsid w:val="000E5C90"/>
    <w:rsid w:val="000F031F"/>
    <w:rsid w:val="000F1E72"/>
    <w:rsid w:val="000F260D"/>
    <w:rsid w:val="000F3E60"/>
    <w:rsid w:val="000F4429"/>
    <w:rsid w:val="000F7993"/>
    <w:rsid w:val="0010747B"/>
    <w:rsid w:val="001121EE"/>
    <w:rsid w:val="001128C3"/>
    <w:rsid w:val="00121135"/>
    <w:rsid w:val="00122298"/>
    <w:rsid w:val="00122704"/>
    <w:rsid w:val="0012543A"/>
    <w:rsid w:val="00133371"/>
    <w:rsid w:val="00142743"/>
    <w:rsid w:val="00143E17"/>
    <w:rsid w:val="0015104F"/>
    <w:rsid w:val="00152AB1"/>
    <w:rsid w:val="001540EB"/>
    <w:rsid w:val="001565F4"/>
    <w:rsid w:val="00157469"/>
    <w:rsid w:val="0015761F"/>
    <w:rsid w:val="00157B5C"/>
    <w:rsid w:val="001636EC"/>
    <w:rsid w:val="00164718"/>
    <w:rsid w:val="00165401"/>
    <w:rsid w:val="00167A40"/>
    <w:rsid w:val="00167CFD"/>
    <w:rsid w:val="001723EC"/>
    <w:rsid w:val="001761C1"/>
    <w:rsid w:val="00181A7A"/>
    <w:rsid w:val="00186652"/>
    <w:rsid w:val="00190E9D"/>
    <w:rsid w:val="00195250"/>
    <w:rsid w:val="001A4F56"/>
    <w:rsid w:val="001B032A"/>
    <w:rsid w:val="001B0E17"/>
    <w:rsid w:val="001B2C14"/>
    <w:rsid w:val="001B3D40"/>
    <w:rsid w:val="001B4103"/>
    <w:rsid w:val="001B66AB"/>
    <w:rsid w:val="001C0B26"/>
    <w:rsid w:val="001C1B1A"/>
    <w:rsid w:val="001C2C10"/>
    <w:rsid w:val="001C3895"/>
    <w:rsid w:val="001C4FD7"/>
    <w:rsid w:val="001D19EE"/>
    <w:rsid w:val="001D22A0"/>
    <w:rsid w:val="001D269F"/>
    <w:rsid w:val="001D6485"/>
    <w:rsid w:val="001D6D65"/>
    <w:rsid w:val="001E2B91"/>
    <w:rsid w:val="001E399B"/>
    <w:rsid w:val="001E402E"/>
    <w:rsid w:val="001E42D4"/>
    <w:rsid w:val="001F2A4A"/>
    <w:rsid w:val="00200F1B"/>
    <w:rsid w:val="0020301E"/>
    <w:rsid w:val="00203302"/>
    <w:rsid w:val="002037B6"/>
    <w:rsid w:val="0021001A"/>
    <w:rsid w:val="00215715"/>
    <w:rsid w:val="002208C6"/>
    <w:rsid w:val="00221C58"/>
    <w:rsid w:val="002252DD"/>
    <w:rsid w:val="00232442"/>
    <w:rsid w:val="0023567D"/>
    <w:rsid w:val="0023757D"/>
    <w:rsid w:val="002436F5"/>
    <w:rsid w:val="00251136"/>
    <w:rsid w:val="00255B09"/>
    <w:rsid w:val="00257780"/>
    <w:rsid w:val="00261EC4"/>
    <w:rsid w:val="00265308"/>
    <w:rsid w:val="002655B6"/>
    <w:rsid w:val="00267B91"/>
    <w:rsid w:val="00275EF6"/>
    <w:rsid w:val="00275F60"/>
    <w:rsid w:val="00277E28"/>
    <w:rsid w:val="00280DCD"/>
    <w:rsid w:val="0028271E"/>
    <w:rsid w:val="002831B8"/>
    <w:rsid w:val="00286A4D"/>
    <w:rsid w:val="00286E57"/>
    <w:rsid w:val="002907F0"/>
    <w:rsid w:val="002964E7"/>
    <w:rsid w:val="002A044B"/>
    <w:rsid w:val="002A2928"/>
    <w:rsid w:val="002A6CF2"/>
    <w:rsid w:val="002B1C39"/>
    <w:rsid w:val="002B2784"/>
    <w:rsid w:val="002B30C4"/>
    <w:rsid w:val="002B4E1F"/>
    <w:rsid w:val="002D1D4C"/>
    <w:rsid w:val="002D4ED3"/>
    <w:rsid w:val="002E3094"/>
    <w:rsid w:val="002E62C7"/>
    <w:rsid w:val="002F2BF9"/>
    <w:rsid w:val="002F42D2"/>
    <w:rsid w:val="002F4347"/>
    <w:rsid w:val="003013D8"/>
    <w:rsid w:val="00303D74"/>
    <w:rsid w:val="00304858"/>
    <w:rsid w:val="0030635D"/>
    <w:rsid w:val="00312523"/>
    <w:rsid w:val="003170B4"/>
    <w:rsid w:val="0032424B"/>
    <w:rsid w:val="0032744E"/>
    <w:rsid w:val="00330E75"/>
    <w:rsid w:val="0033299D"/>
    <w:rsid w:val="00332A15"/>
    <w:rsid w:val="00336B1F"/>
    <w:rsid w:val="00336DF0"/>
    <w:rsid w:val="003407C1"/>
    <w:rsid w:val="00342579"/>
    <w:rsid w:val="00342850"/>
    <w:rsid w:val="003449A3"/>
    <w:rsid w:val="0035554F"/>
    <w:rsid w:val="0035589F"/>
    <w:rsid w:val="00363299"/>
    <w:rsid w:val="00363E94"/>
    <w:rsid w:val="00366718"/>
    <w:rsid w:val="0037208D"/>
    <w:rsid w:val="003778DA"/>
    <w:rsid w:val="00377FBD"/>
    <w:rsid w:val="00380973"/>
    <w:rsid w:val="00382EA5"/>
    <w:rsid w:val="003837C6"/>
    <w:rsid w:val="003849A8"/>
    <w:rsid w:val="00385F68"/>
    <w:rsid w:val="003905F1"/>
    <w:rsid w:val="00393C85"/>
    <w:rsid w:val="00394930"/>
    <w:rsid w:val="00394B3B"/>
    <w:rsid w:val="003A368C"/>
    <w:rsid w:val="003A5DAC"/>
    <w:rsid w:val="003B440D"/>
    <w:rsid w:val="003B6581"/>
    <w:rsid w:val="003C20AF"/>
    <w:rsid w:val="003C22FD"/>
    <w:rsid w:val="003C37A0"/>
    <w:rsid w:val="003C5F5A"/>
    <w:rsid w:val="003C7232"/>
    <w:rsid w:val="003D233B"/>
    <w:rsid w:val="003D4EAA"/>
    <w:rsid w:val="003D76EF"/>
    <w:rsid w:val="003E1851"/>
    <w:rsid w:val="003E23AA"/>
    <w:rsid w:val="003E2DE5"/>
    <w:rsid w:val="003E6206"/>
    <w:rsid w:val="003E73C5"/>
    <w:rsid w:val="003E76D6"/>
    <w:rsid w:val="003F1EA2"/>
    <w:rsid w:val="003F6D96"/>
    <w:rsid w:val="00401FBB"/>
    <w:rsid w:val="004020F9"/>
    <w:rsid w:val="004042CD"/>
    <w:rsid w:val="0040592F"/>
    <w:rsid w:val="004060D0"/>
    <w:rsid w:val="00406360"/>
    <w:rsid w:val="00413961"/>
    <w:rsid w:val="0041516D"/>
    <w:rsid w:val="004169D5"/>
    <w:rsid w:val="00416A53"/>
    <w:rsid w:val="00421FE4"/>
    <w:rsid w:val="00423963"/>
    <w:rsid w:val="00424C03"/>
    <w:rsid w:val="00426221"/>
    <w:rsid w:val="004347BA"/>
    <w:rsid w:val="0043510B"/>
    <w:rsid w:val="00443021"/>
    <w:rsid w:val="00445C4F"/>
    <w:rsid w:val="00450E77"/>
    <w:rsid w:val="0045220B"/>
    <w:rsid w:val="00453046"/>
    <w:rsid w:val="00453682"/>
    <w:rsid w:val="00456986"/>
    <w:rsid w:val="00460239"/>
    <w:rsid w:val="00466077"/>
    <w:rsid w:val="004664DC"/>
    <w:rsid w:val="00471321"/>
    <w:rsid w:val="00474D22"/>
    <w:rsid w:val="00475694"/>
    <w:rsid w:val="00481E77"/>
    <w:rsid w:val="00484193"/>
    <w:rsid w:val="00484E43"/>
    <w:rsid w:val="00487CE9"/>
    <w:rsid w:val="00491FC6"/>
    <w:rsid w:val="004920DB"/>
    <w:rsid w:val="00494F0F"/>
    <w:rsid w:val="0049507E"/>
    <w:rsid w:val="004951B3"/>
    <w:rsid w:val="004A01D1"/>
    <w:rsid w:val="004B0AB3"/>
    <w:rsid w:val="004B13C6"/>
    <w:rsid w:val="004B437B"/>
    <w:rsid w:val="004B5136"/>
    <w:rsid w:val="004B5A3C"/>
    <w:rsid w:val="004C1DA0"/>
    <w:rsid w:val="004C5B3C"/>
    <w:rsid w:val="004D0854"/>
    <w:rsid w:val="004D2246"/>
    <w:rsid w:val="004D2FFC"/>
    <w:rsid w:val="004D3215"/>
    <w:rsid w:val="004D67C8"/>
    <w:rsid w:val="004E2029"/>
    <w:rsid w:val="004E33FE"/>
    <w:rsid w:val="004E4868"/>
    <w:rsid w:val="004E5244"/>
    <w:rsid w:val="004E568C"/>
    <w:rsid w:val="004E6570"/>
    <w:rsid w:val="004F7202"/>
    <w:rsid w:val="004F72F4"/>
    <w:rsid w:val="00501CAB"/>
    <w:rsid w:val="0050232A"/>
    <w:rsid w:val="00503297"/>
    <w:rsid w:val="00504C23"/>
    <w:rsid w:val="005101FF"/>
    <w:rsid w:val="005111EF"/>
    <w:rsid w:val="00512242"/>
    <w:rsid w:val="00512DA3"/>
    <w:rsid w:val="00514000"/>
    <w:rsid w:val="00515D04"/>
    <w:rsid w:val="00524ECC"/>
    <w:rsid w:val="00527ABE"/>
    <w:rsid w:val="005322A1"/>
    <w:rsid w:val="00532451"/>
    <w:rsid w:val="00534593"/>
    <w:rsid w:val="00542D73"/>
    <w:rsid w:val="005438C8"/>
    <w:rsid w:val="00547702"/>
    <w:rsid w:val="0055440A"/>
    <w:rsid w:val="00557EBC"/>
    <w:rsid w:val="00560457"/>
    <w:rsid w:val="0056066A"/>
    <w:rsid w:val="00563108"/>
    <w:rsid w:val="005646F3"/>
    <w:rsid w:val="00564A3F"/>
    <w:rsid w:val="00564FCC"/>
    <w:rsid w:val="005709A6"/>
    <w:rsid w:val="0057186D"/>
    <w:rsid w:val="00572ABF"/>
    <w:rsid w:val="00572B50"/>
    <w:rsid w:val="00574AEC"/>
    <w:rsid w:val="00576A2B"/>
    <w:rsid w:val="005773E7"/>
    <w:rsid w:val="00577B02"/>
    <w:rsid w:val="00582A2E"/>
    <w:rsid w:val="00583761"/>
    <w:rsid w:val="0058749F"/>
    <w:rsid w:val="00594065"/>
    <w:rsid w:val="005953DA"/>
    <w:rsid w:val="005955EA"/>
    <w:rsid w:val="00597B78"/>
    <w:rsid w:val="005A2789"/>
    <w:rsid w:val="005A3993"/>
    <w:rsid w:val="005A6CEE"/>
    <w:rsid w:val="005B14AB"/>
    <w:rsid w:val="005B23AF"/>
    <w:rsid w:val="005B4215"/>
    <w:rsid w:val="005B5656"/>
    <w:rsid w:val="005C16B3"/>
    <w:rsid w:val="005C25CF"/>
    <w:rsid w:val="005C303C"/>
    <w:rsid w:val="005C7F82"/>
    <w:rsid w:val="005D0866"/>
    <w:rsid w:val="005D537D"/>
    <w:rsid w:val="005D5858"/>
    <w:rsid w:val="005D5C82"/>
    <w:rsid w:val="005D5CAF"/>
    <w:rsid w:val="005E026B"/>
    <w:rsid w:val="005E0DE1"/>
    <w:rsid w:val="005E4622"/>
    <w:rsid w:val="005E4ED5"/>
    <w:rsid w:val="005E7103"/>
    <w:rsid w:val="005E75FD"/>
    <w:rsid w:val="005F5468"/>
    <w:rsid w:val="00601274"/>
    <w:rsid w:val="006026ED"/>
    <w:rsid w:val="00604AAC"/>
    <w:rsid w:val="00604F4B"/>
    <w:rsid w:val="00607455"/>
    <w:rsid w:val="006075F7"/>
    <w:rsid w:val="00607964"/>
    <w:rsid w:val="00613086"/>
    <w:rsid w:val="0062075A"/>
    <w:rsid w:val="00624BEB"/>
    <w:rsid w:val="00625ED8"/>
    <w:rsid w:val="006271AA"/>
    <w:rsid w:val="006274AC"/>
    <w:rsid w:val="00634DA7"/>
    <w:rsid w:val="006350C4"/>
    <w:rsid w:val="00637E56"/>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4842"/>
    <w:rsid w:val="006A6EA7"/>
    <w:rsid w:val="006A74BC"/>
    <w:rsid w:val="006B503F"/>
    <w:rsid w:val="006B64A8"/>
    <w:rsid w:val="006B707C"/>
    <w:rsid w:val="006C24CB"/>
    <w:rsid w:val="006C3F4A"/>
    <w:rsid w:val="006C6020"/>
    <w:rsid w:val="006D0225"/>
    <w:rsid w:val="006D15F6"/>
    <w:rsid w:val="006D1681"/>
    <w:rsid w:val="006D2E1F"/>
    <w:rsid w:val="006D3B55"/>
    <w:rsid w:val="006E3151"/>
    <w:rsid w:val="006E3515"/>
    <w:rsid w:val="006F1939"/>
    <w:rsid w:val="006F594C"/>
    <w:rsid w:val="006F5E34"/>
    <w:rsid w:val="006F7F2A"/>
    <w:rsid w:val="00701118"/>
    <w:rsid w:val="0070344F"/>
    <w:rsid w:val="00704C6B"/>
    <w:rsid w:val="00705BD4"/>
    <w:rsid w:val="00706159"/>
    <w:rsid w:val="0070672E"/>
    <w:rsid w:val="007107EE"/>
    <w:rsid w:val="00712B55"/>
    <w:rsid w:val="00714BA2"/>
    <w:rsid w:val="007166C4"/>
    <w:rsid w:val="007211A4"/>
    <w:rsid w:val="0072128F"/>
    <w:rsid w:val="00725EDA"/>
    <w:rsid w:val="00726D6D"/>
    <w:rsid w:val="00727E48"/>
    <w:rsid w:val="00730306"/>
    <w:rsid w:val="00730440"/>
    <w:rsid w:val="00731CFE"/>
    <w:rsid w:val="00732D8B"/>
    <w:rsid w:val="00737805"/>
    <w:rsid w:val="00740FDE"/>
    <w:rsid w:val="00746B11"/>
    <w:rsid w:val="007472C3"/>
    <w:rsid w:val="0075097C"/>
    <w:rsid w:val="00752131"/>
    <w:rsid w:val="0075395F"/>
    <w:rsid w:val="00760524"/>
    <w:rsid w:val="00760A63"/>
    <w:rsid w:val="00760B40"/>
    <w:rsid w:val="007717D2"/>
    <w:rsid w:val="00771A91"/>
    <w:rsid w:val="00772C52"/>
    <w:rsid w:val="007748CE"/>
    <w:rsid w:val="007826D3"/>
    <w:rsid w:val="0078543A"/>
    <w:rsid w:val="00793315"/>
    <w:rsid w:val="00796F08"/>
    <w:rsid w:val="007A0311"/>
    <w:rsid w:val="007A4003"/>
    <w:rsid w:val="007A4A3B"/>
    <w:rsid w:val="007A5F9C"/>
    <w:rsid w:val="007A66E1"/>
    <w:rsid w:val="007B32B8"/>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338"/>
    <w:rsid w:val="00806ACE"/>
    <w:rsid w:val="00807638"/>
    <w:rsid w:val="00807904"/>
    <w:rsid w:val="0081198A"/>
    <w:rsid w:val="00811F4D"/>
    <w:rsid w:val="00817B5C"/>
    <w:rsid w:val="008207CD"/>
    <w:rsid w:val="00821A2C"/>
    <w:rsid w:val="0082218E"/>
    <w:rsid w:val="00825C43"/>
    <w:rsid w:val="008312A9"/>
    <w:rsid w:val="0083145E"/>
    <w:rsid w:val="008332B7"/>
    <w:rsid w:val="008351B0"/>
    <w:rsid w:val="00836052"/>
    <w:rsid w:val="00840A44"/>
    <w:rsid w:val="00843E16"/>
    <w:rsid w:val="0084469D"/>
    <w:rsid w:val="00844B2D"/>
    <w:rsid w:val="00844C4A"/>
    <w:rsid w:val="008604B2"/>
    <w:rsid w:val="00861DFE"/>
    <w:rsid w:val="00862825"/>
    <w:rsid w:val="00863EE1"/>
    <w:rsid w:val="0087487C"/>
    <w:rsid w:val="00874F6F"/>
    <w:rsid w:val="00875062"/>
    <w:rsid w:val="0087508B"/>
    <w:rsid w:val="008754D1"/>
    <w:rsid w:val="0087687F"/>
    <w:rsid w:val="00884EA8"/>
    <w:rsid w:val="00885319"/>
    <w:rsid w:val="00886238"/>
    <w:rsid w:val="008916EC"/>
    <w:rsid w:val="00892211"/>
    <w:rsid w:val="008938F7"/>
    <w:rsid w:val="008956EA"/>
    <w:rsid w:val="008972AF"/>
    <w:rsid w:val="00897861"/>
    <w:rsid w:val="00897F53"/>
    <w:rsid w:val="008A053C"/>
    <w:rsid w:val="008A4959"/>
    <w:rsid w:val="008A523D"/>
    <w:rsid w:val="008A6BB2"/>
    <w:rsid w:val="008B015E"/>
    <w:rsid w:val="008B3137"/>
    <w:rsid w:val="008B459B"/>
    <w:rsid w:val="008B47C6"/>
    <w:rsid w:val="008B568D"/>
    <w:rsid w:val="008B5FE3"/>
    <w:rsid w:val="008C2C1A"/>
    <w:rsid w:val="008C4F88"/>
    <w:rsid w:val="008D0841"/>
    <w:rsid w:val="008D3142"/>
    <w:rsid w:val="008D7F66"/>
    <w:rsid w:val="008E0937"/>
    <w:rsid w:val="008F10CD"/>
    <w:rsid w:val="00901BEF"/>
    <w:rsid w:val="009026ED"/>
    <w:rsid w:val="009030BF"/>
    <w:rsid w:val="00903DCA"/>
    <w:rsid w:val="009055B3"/>
    <w:rsid w:val="00905B0F"/>
    <w:rsid w:val="00906749"/>
    <w:rsid w:val="00911C6C"/>
    <w:rsid w:val="00914263"/>
    <w:rsid w:val="00914280"/>
    <w:rsid w:val="009201D0"/>
    <w:rsid w:val="009202D3"/>
    <w:rsid w:val="00922786"/>
    <w:rsid w:val="00924060"/>
    <w:rsid w:val="0093242F"/>
    <w:rsid w:val="00933C53"/>
    <w:rsid w:val="00940A34"/>
    <w:rsid w:val="00940A79"/>
    <w:rsid w:val="009421F2"/>
    <w:rsid w:val="0094272F"/>
    <w:rsid w:val="009440A2"/>
    <w:rsid w:val="0094500C"/>
    <w:rsid w:val="00946B3F"/>
    <w:rsid w:val="00946D77"/>
    <w:rsid w:val="00960A33"/>
    <w:rsid w:val="00961AC0"/>
    <w:rsid w:val="00962C01"/>
    <w:rsid w:val="00963D1F"/>
    <w:rsid w:val="00965A50"/>
    <w:rsid w:val="00965D02"/>
    <w:rsid w:val="009674A5"/>
    <w:rsid w:val="00971042"/>
    <w:rsid w:val="00975824"/>
    <w:rsid w:val="0097618B"/>
    <w:rsid w:val="009774F9"/>
    <w:rsid w:val="0098007E"/>
    <w:rsid w:val="00981EC4"/>
    <w:rsid w:val="009830C2"/>
    <w:rsid w:val="0099219B"/>
    <w:rsid w:val="00993997"/>
    <w:rsid w:val="009963D4"/>
    <w:rsid w:val="00996684"/>
    <w:rsid w:val="009968F2"/>
    <w:rsid w:val="009A393E"/>
    <w:rsid w:val="009A66F7"/>
    <w:rsid w:val="009A73DE"/>
    <w:rsid w:val="009A7B7C"/>
    <w:rsid w:val="009B0E42"/>
    <w:rsid w:val="009C10D9"/>
    <w:rsid w:val="009C1A67"/>
    <w:rsid w:val="009C2203"/>
    <w:rsid w:val="009C6AB2"/>
    <w:rsid w:val="009D3443"/>
    <w:rsid w:val="009D3DBD"/>
    <w:rsid w:val="009E66C3"/>
    <w:rsid w:val="009E79BE"/>
    <w:rsid w:val="009F0F2B"/>
    <w:rsid w:val="009F33C9"/>
    <w:rsid w:val="009F4A96"/>
    <w:rsid w:val="009F735A"/>
    <w:rsid w:val="009F7600"/>
    <w:rsid w:val="00A03365"/>
    <w:rsid w:val="00A07879"/>
    <w:rsid w:val="00A1303F"/>
    <w:rsid w:val="00A1474E"/>
    <w:rsid w:val="00A156A1"/>
    <w:rsid w:val="00A1618E"/>
    <w:rsid w:val="00A219F3"/>
    <w:rsid w:val="00A23E01"/>
    <w:rsid w:val="00A24135"/>
    <w:rsid w:val="00A24D95"/>
    <w:rsid w:val="00A25900"/>
    <w:rsid w:val="00A25C8D"/>
    <w:rsid w:val="00A278B7"/>
    <w:rsid w:val="00A35D49"/>
    <w:rsid w:val="00A35D96"/>
    <w:rsid w:val="00A41772"/>
    <w:rsid w:val="00A41A02"/>
    <w:rsid w:val="00A43EBA"/>
    <w:rsid w:val="00A4628B"/>
    <w:rsid w:val="00A50D6A"/>
    <w:rsid w:val="00A50FFE"/>
    <w:rsid w:val="00A533A7"/>
    <w:rsid w:val="00A60798"/>
    <w:rsid w:val="00A60BC7"/>
    <w:rsid w:val="00A62193"/>
    <w:rsid w:val="00A62552"/>
    <w:rsid w:val="00A64058"/>
    <w:rsid w:val="00A65C80"/>
    <w:rsid w:val="00A7060B"/>
    <w:rsid w:val="00A70D02"/>
    <w:rsid w:val="00A8096A"/>
    <w:rsid w:val="00A81C7A"/>
    <w:rsid w:val="00A83578"/>
    <w:rsid w:val="00A86E94"/>
    <w:rsid w:val="00A878F7"/>
    <w:rsid w:val="00A927B8"/>
    <w:rsid w:val="00A92C42"/>
    <w:rsid w:val="00A93B18"/>
    <w:rsid w:val="00A9696C"/>
    <w:rsid w:val="00A96B49"/>
    <w:rsid w:val="00A96D72"/>
    <w:rsid w:val="00A9770D"/>
    <w:rsid w:val="00AA12F7"/>
    <w:rsid w:val="00AA24D4"/>
    <w:rsid w:val="00AA41AD"/>
    <w:rsid w:val="00AA4BC9"/>
    <w:rsid w:val="00AB0E9A"/>
    <w:rsid w:val="00AB3AEC"/>
    <w:rsid w:val="00AB4E72"/>
    <w:rsid w:val="00AB5B30"/>
    <w:rsid w:val="00AB7D0E"/>
    <w:rsid w:val="00AC0484"/>
    <w:rsid w:val="00AC219F"/>
    <w:rsid w:val="00AC2203"/>
    <w:rsid w:val="00AC2903"/>
    <w:rsid w:val="00AC48A2"/>
    <w:rsid w:val="00AC4FD6"/>
    <w:rsid w:val="00AC571E"/>
    <w:rsid w:val="00AD2FDB"/>
    <w:rsid w:val="00AD52CD"/>
    <w:rsid w:val="00AD5960"/>
    <w:rsid w:val="00AE40D5"/>
    <w:rsid w:val="00AE6B19"/>
    <w:rsid w:val="00AF17B2"/>
    <w:rsid w:val="00AF1A3F"/>
    <w:rsid w:val="00AF321A"/>
    <w:rsid w:val="00AF43EC"/>
    <w:rsid w:val="00AF49C0"/>
    <w:rsid w:val="00AF4B41"/>
    <w:rsid w:val="00AF5241"/>
    <w:rsid w:val="00AF5299"/>
    <w:rsid w:val="00B02147"/>
    <w:rsid w:val="00B029A1"/>
    <w:rsid w:val="00B0347D"/>
    <w:rsid w:val="00B05653"/>
    <w:rsid w:val="00B07C5E"/>
    <w:rsid w:val="00B12C91"/>
    <w:rsid w:val="00B13906"/>
    <w:rsid w:val="00B15262"/>
    <w:rsid w:val="00B171DE"/>
    <w:rsid w:val="00B173DC"/>
    <w:rsid w:val="00B21824"/>
    <w:rsid w:val="00B2228E"/>
    <w:rsid w:val="00B2275A"/>
    <w:rsid w:val="00B23CAE"/>
    <w:rsid w:val="00B26C33"/>
    <w:rsid w:val="00B34C80"/>
    <w:rsid w:val="00B35D89"/>
    <w:rsid w:val="00B4106D"/>
    <w:rsid w:val="00B44C4A"/>
    <w:rsid w:val="00B47524"/>
    <w:rsid w:val="00B509EB"/>
    <w:rsid w:val="00B55602"/>
    <w:rsid w:val="00B6179B"/>
    <w:rsid w:val="00B617E1"/>
    <w:rsid w:val="00B61E7F"/>
    <w:rsid w:val="00B74BEC"/>
    <w:rsid w:val="00B75F9B"/>
    <w:rsid w:val="00B819F9"/>
    <w:rsid w:val="00B8798B"/>
    <w:rsid w:val="00B87FDA"/>
    <w:rsid w:val="00B93FA9"/>
    <w:rsid w:val="00B94F2F"/>
    <w:rsid w:val="00B95DEE"/>
    <w:rsid w:val="00BA6807"/>
    <w:rsid w:val="00BA6B35"/>
    <w:rsid w:val="00BB3155"/>
    <w:rsid w:val="00BB559F"/>
    <w:rsid w:val="00BB6831"/>
    <w:rsid w:val="00BB780A"/>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C020A0"/>
    <w:rsid w:val="00C06D8A"/>
    <w:rsid w:val="00C07D1F"/>
    <w:rsid w:val="00C11092"/>
    <w:rsid w:val="00C12F2A"/>
    <w:rsid w:val="00C12F53"/>
    <w:rsid w:val="00C139FC"/>
    <w:rsid w:val="00C13BB5"/>
    <w:rsid w:val="00C14AC4"/>
    <w:rsid w:val="00C24F4A"/>
    <w:rsid w:val="00C2525F"/>
    <w:rsid w:val="00C27873"/>
    <w:rsid w:val="00C30331"/>
    <w:rsid w:val="00C332FE"/>
    <w:rsid w:val="00C35013"/>
    <w:rsid w:val="00C361C3"/>
    <w:rsid w:val="00C36B55"/>
    <w:rsid w:val="00C40A2D"/>
    <w:rsid w:val="00C41C28"/>
    <w:rsid w:val="00C518CD"/>
    <w:rsid w:val="00C5376E"/>
    <w:rsid w:val="00C546CA"/>
    <w:rsid w:val="00C63501"/>
    <w:rsid w:val="00C644FC"/>
    <w:rsid w:val="00C6662E"/>
    <w:rsid w:val="00C6678C"/>
    <w:rsid w:val="00C700C6"/>
    <w:rsid w:val="00C70E99"/>
    <w:rsid w:val="00C73BF9"/>
    <w:rsid w:val="00C74183"/>
    <w:rsid w:val="00C74CDA"/>
    <w:rsid w:val="00C778D1"/>
    <w:rsid w:val="00C82530"/>
    <w:rsid w:val="00C838EC"/>
    <w:rsid w:val="00C863E3"/>
    <w:rsid w:val="00C877AE"/>
    <w:rsid w:val="00C87A41"/>
    <w:rsid w:val="00CA1AEE"/>
    <w:rsid w:val="00CA242D"/>
    <w:rsid w:val="00CA31B8"/>
    <w:rsid w:val="00CA67D0"/>
    <w:rsid w:val="00CA7FB9"/>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CF77F4"/>
    <w:rsid w:val="00D0232B"/>
    <w:rsid w:val="00D0419E"/>
    <w:rsid w:val="00D116B8"/>
    <w:rsid w:val="00D12C01"/>
    <w:rsid w:val="00D13109"/>
    <w:rsid w:val="00D131D5"/>
    <w:rsid w:val="00D149AD"/>
    <w:rsid w:val="00D16B53"/>
    <w:rsid w:val="00D17C4F"/>
    <w:rsid w:val="00D2019F"/>
    <w:rsid w:val="00D23074"/>
    <w:rsid w:val="00D23821"/>
    <w:rsid w:val="00D245A5"/>
    <w:rsid w:val="00D263A2"/>
    <w:rsid w:val="00D31166"/>
    <w:rsid w:val="00D3653E"/>
    <w:rsid w:val="00D400F5"/>
    <w:rsid w:val="00D43726"/>
    <w:rsid w:val="00D45D02"/>
    <w:rsid w:val="00D51089"/>
    <w:rsid w:val="00D51B92"/>
    <w:rsid w:val="00D55DE0"/>
    <w:rsid w:val="00D5613B"/>
    <w:rsid w:val="00D5691B"/>
    <w:rsid w:val="00D574A4"/>
    <w:rsid w:val="00D62753"/>
    <w:rsid w:val="00D63698"/>
    <w:rsid w:val="00D67D1E"/>
    <w:rsid w:val="00D70AC2"/>
    <w:rsid w:val="00D721E9"/>
    <w:rsid w:val="00D75950"/>
    <w:rsid w:val="00D760CE"/>
    <w:rsid w:val="00D836DA"/>
    <w:rsid w:val="00D838A0"/>
    <w:rsid w:val="00D85ADC"/>
    <w:rsid w:val="00D924D5"/>
    <w:rsid w:val="00D94444"/>
    <w:rsid w:val="00D9603B"/>
    <w:rsid w:val="00DA2848"/>
    <w:rsid w:val="00DA3240"/>
    <w:rsid w:val="00DA5C40"/>
    <w:rsid w:val="00DA63BE"/>
    <w:rsid w:val="00DA6511"/>
    <w:rsid w:val="00DB3CBF"/>
    <w:rsid w:val="00DB4BA9"/>
    <w:rsid w:val="00DB60E4"/>
    <w:rsid w:val="00DC4BEF"/>
    <w:rsid w:val="00DC6273"/>
    <w:rsid w:val="00DC6485"/>
    <w:rsid w:val="00DC7EE1"/>
    <w:rsid w:val="00DD0E75"/>
    <w:rsid w:val="00DD16C7"/>
    <w:rsid w:val="00DD2076"/>
    <w:rsid w:val="00DD76F6"/>
    <w:rsid w:val="00DE0301"/>
    <w:rsid w:val="00DE1053"/>
    <w:rsid w:val="00DE1C5D"/>
    <w:rsid w:val="00DE4054"/>
    <w:rsid w:val="00DE4A37"/>
    <w:rsid w:val="00DE5DF1"/>
    <w:rsid w:val="00DE6BA4"/>
    <w:rsid w:val="00DE7C73"/>
    <w:rsid w:val="00DF0566"/>
    <w:rsid w:val="00DF07B9"/>
    <w:rsid w:val="00E0318D"/>
    <w:rsid w:val="00E040FF"/>
    <w:rsid w:val="00E0419C"/>
    <w:rsid w:val="00E0441A"/>
    <w:rsid w:val="00E04F02"/>
    <w:rsid w:val="00E10FCC"/>
    <w:rsid w:val="00E12DBC"/>
    <w:rsid w:val="00E12FCC"/>
    <w:rsid w:val="00E171A6"/>
    <w:rsid w:val="00E175F7"/>
    <w:rsid w:val="00E21488"/>
    <w:rsid w:val="00E2335D"/>
    <w:rsid w:val="00E263B2"/>
    <w:rsid w:val="00E27BEB"/>
    <w:rsid w:val="00E30634"/>
    <w:rsid w:val="00E31562"/>
    <w:rsid w:val="00E31801"/>
    <w:rsid w:val="00E329A5"/>
    <w:rsid w:val="00E33916"/>
    <w:rsid w:val="00E36A67"/>
    <w:rsid w:val="00E37D15"/>
    <w:rsid w:val="00E415B9"/>
    <w:rsid w:val="00E5207B"/>
    <w:rsid w:val="00E54592"/>
    <w:rsid w:val="00E55495"/>
    <w:rsid w:val="00E5755F"/>
    <w:rsid w:val="00E57A03"/>
    <w:rsid w:val="00E612E3"/>
    <w:rsid w:val="00E63100"/>
    <w:rsid w:val="00E649FE"/>
    <w:rsid w:val="00E64C7C"/>
    <w:rsid w:val="00E70AA9"/>
    <w:rsid w:val="00E72110"/>
    <w:rsid w:val="00E724E8"/>
    <w:rsid w:val="00E77968"/>
    <w:rsid w:val="00E84C22"/>
    <w:rsid w:val="00E85219"/>
    <w:rsid w:val="00E93CB2"/>
    <w:rsid w:val="00EA3223"/>
    <w:rsid w:val="00EA3CEA"/>
    <w:rsid w:val="00EA6ABD"/>
    <w:rsid w:val="00EB000A"/>
    <w:rsid w:val="00EB1BBB"/>
    <w:rsid w:val="00EB4A21"/>
    <w:rsid w:val="00EB4A8B"/>
    <w:rsid w:val="00EB67E8"/>
    <w:rsid w:val="00EB7298"/>
    <w:rsid w:val="00EB7655"/>
    <w:rsid w:val="00EC0361"/>
    <w:rsid w:val="00ED0F60"/>
    <w:rsid w:val="00ED2F42"/>
    <w:rsid w:val="00ED321C"/>
    <w:rsid w:val="00ED36CD"/>
    <w:rsid w:val="00ED6F8F"/>
    <w:rsid w:val="00EE2247"/>
    <w:rsid w:val="00EE2CEA"/>
    <w:rsid w:val="00EE36B2"/>
    <w:rsid w:val="00EE5A85"/>
    <w:rsid w:val="00EE64B7"/>
    <w:rsid w:val="00EF2826"/>
    <w:rsid w:val="00EF2881"/>
    <w:rsid w:val="00EF3E7B"/>
    <w:rsid w:val="00EF7E89"/>
    <w:rsid w:val="00F045FC"/>
    <w:rsid w:val="00F057A4"/>
    <w:rsid w:val="00F1418D"/>
    <w:rsid w:val="00F1491A"/>
    <w:rsid w:val="00F15137"/>
    <w:rsid w:val="00F22B1C"/>
    <w:rsid w:val="00F23EB1"/>
    <w:rsid w:val="00F24B0B"/>
    <w:rsid w:val="00F25922"/>
    <w:rsid w:val="00F2620B"/>
    <w:rsid w:val="00F30A65"/>
    <w:rsid w:val="00F32C79"/>
    <w:rsid w:val="00F37578"/>
    <w:rsid w:val="00F41207"/>
    <w:rsid w:val="00F457AB"/>
    <w:rsid w:val="00F47E8A"/>
    <w:rsid w:val="00F52BC9"/>
    <w:rsid w:val="00F56201"/>
    <w:rsid w:val="00F56938"/>
    <w:rsid w:val="00F57DE9"/>
    <w:rsid w:val="00F63D12"/>
    <w:rsid w:val="00F6598F"/>
    <w:rsid w:val="00F67230"/>
    <w:rsid w:val="00F676D5"/>
    <w:rsid w:val="00F67F60"/>
    <w:rsid w:val="00F83D13"/>
    <w:rsid w:val="00F85B9B"/>
    <w:rsid w:val="00F870B9"/>
    <w:rsid w:val="00F9429A"/>
    <w:rsid w:val="00F945A2"/>
    <w:rsid w:val="00F94E32"/>
    <w:rsid w:val="00F95253"/>
    <w:rsid w:val="00F9665E"/>
    <w:rsid w:val="00F969A2"/>
    <w:rsid w:val="00FA30B6"/>
    <w:rsid w:val="00FA450D"/>
    <w:rsid w:val="00FA6D09"/>
    <w:rsid w:val="00FA7FE6"/>
    <w:rsid w:val="00FB1BAE"/>
    <w:rsid w:val="00FB2064"/>
    <w:rsid w:val="00FB375A"/>
    <w:rsid w:val="00FB3F64"/>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00E"/>
    <w:rsid w:val="00FE2F5B"/>
    <w:rsid w:val="00FE6C15"/>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CFD08B"/>
  <w15:docId w15:val="{A52E8657-1355-49EB-A645-B0880CC8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03DCA"/>
    <w:pPr>
      <w:spacing w:after="0" w:line="240" w:lineRule="auto"/>
    </w:pPr>
    <w:rPr>
      <w:rFonts w:ascii="Times New Roman" w:hAnsi="Times New Roman"/>
      <w:noProof/>
    </w:rPr>
  </w:style>
  <w:style w:type="paragraph" w:styleId="Heading1">
    <w:name w:val="heading 1"/>
    <w:basedOn w:val="Normal"/>
    <w:link w:val="Heading1Char"/>
    <w:uiPriority w:val="9"/>
    <w:rsid w:val="004E657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570"/>
    <w:pPr>
      <w:tabs>
        <w:tab w:val="center" w:pos="4513"/>
        <w:tab w:val="right" w:pos="9026"/>
      </w:tabs>
    </w:pPr>
  </w:style>
  <w:style w:type="character" w:customStyle="1" w:styleId="FooterChar">
    <w:name w:val="Footer Char"/>
    <w:basedOn w:val="DefaultParagraphFont"/>
    <w:link w:val="Footer"/>
    <w:uiPriority w:val="99"/>
    <w:rsid w:val="004E6570"/>
    <w:rPr>
      <w:rFonts w:ascii="Times New Roman" w:hAnsi="Times New Roman"/>
      <w:noProof/>
    </w:rPr>
  </w:style>
  <w:style w:type="paragraph" w:styleId="Header">
    <w:name w:val="header"/>
    <w:basedOn w:val="Normal"/>
    <w:link w:val="HeaderChar"/>
    <w:uiPriority w:val="99"/>
    <w:unhideWhenUsed/>
    <w:rsid w:val="004E6570"/>
    <w:pPr>
      <w:tabs>
        <w:tab w:val="center" w:pos="4513"/>
        <w:tab w:val="right" w:pos="9026"/>
      </w:tabs>
    </w:pPr>
  </w:style>
  <w:style w:type="character" w:customStyle="1" w:styleId="HeaderChar">
    <w:name w:val="Header Char"/>
    <w:basedOn w:val="DefaultParagraphFont"/>
    <w:link w:val="Header"/>
    <w:uiPriority w:val="99"/>
    <w:rsid w:val="004E6570"/>
    <w:rPr>
      <w:rFonts w:ascii="Times New Roman" w:hAnsi="Times New Roman"/>
      <w:noProof/>
    </w:rPr>
  </w:style>
  <w:style w:type="paragraph" w:styleId="BalloonText">
    <w:name w:val="Balloon Text"/>
    <w:basedOn w:val="Normal"/>
    <w:link w:val="BalloonTextChar"/>
    <w:uiPriority w:val="99"/>
    <w:semiHidden/>
    <w:unhideWhenUsed/>
    <w:rsid w:val="004E6570"/>
    <w:rPr>
      <w:rFonts w:ascii="Tahoma" w:hAnsi="Tahoma" w:cs="Tahoma"/>
      <w:sz w:val="16"/>
      <w:szCs w:val="16"/>
    </w:rPr>
  </w:style>
  <w:style w:type="character" w:customStyle="1" w:styleId="BalloonTextChar">
    <w:name w:val="Balloon Text Char"/>
    <w:basedOn w:val="DefaultParagraphFont"/>
    <w:link w:val="BalloonText"/>
    <w:uiPriority w:val="99"/>
    <w:semiHidden/>
    <w:rsid w:val="004E6570"/>
    <w:rPr>
      <w:rFonts w:ascii="Tahoma" w:hAnsi="Tahoma" w:cs="Tahoma"/>
      <w:noProof/>
      <w:sz w:val="16"/>
      <w:szCs w:val="16"/>
    </w:rPr>
  </w:style>
  <w:style w:type="paragraph" w:customStyle="1" w:styleId="REG-H3A">
    <w:name w:val="REG-H3A"/>
    <w:link w:val="REG-H3AChar"/>
    <w:qFormat/>
    <w:rsid w:val="004E65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E6570"/>
    <w:pPr>
      <w:numPr>
        <w:numId w:val="1"/>
      </w:numPr>
      <w:contextualSpacing/>
    </w:pPr>
  </w:style>
  <w:style w:type="character" w:customStyle="1" w:styleId="REG-H3AChar">
    <w:name w:val="REG-H3A Char"/>
    <w:basedOn w:val="DefaultParagraphFont"/>
    <w:link w:val="REG-H3A"/>
    <w:rsid w:val="004E6570"/>
    <w:rPr>
      <w:rFonts w:ascii="Times New Roman" w:hAnsi="Times New Roman" w:cs="Times New Roman"/>
      <w:b/>
      <w:caps/>
      <w:noProof/>
    </w:rPr>
  </w:style>
  <w:style w:type="character" w:customStyle="1" w:styleId="A3">
    <w:name w:val="A3"/>
    <w:uiPriority w:val="99"/>
    <w:rsid w:val="004E6570"/>
    <w:rPr>
      <w:rFonts w:cs="Times"/>
      <w:color w:val="000000"/>
      <w:sz w:val="22"/>
      <w:szCs w:val="22"/>
    </w:rPr>
  </w:style>
  <w:style w:type="paragraph" w:customStyle="1" w:styleId="Head2B">
    <w:name w:val="Head 2B"/>
    <w:basedOn w:val="AS-H3A"/>
    <w:link w:val="Head2BChar"/>
    <w:rsid w:val="004E6570"/>
  </w:style>
  <w:style w:type="paragraph" w:styleId="ListParagraph">
    <w:name w:val="List Paragraph"/>
    <w:basedOn w:val="Normal"/>
    <w:link w:val="ListParagraphChar"/>
    <w:uiPriority w:val="34"/>
    <w:rsid w:val="004E6570"/>
    <w:pPr>
      <w:ind w:left="720"/>
      <w:contextualSpacing/>
    </w:pPr>
  </w:style>
  <w:style w:type="character" w:customStyle="1" w:styleId="Head2BChar">
    <w:name w:val="Head 2B Char"/>
    <w:basedOn w:val="AS-H3AChar"/>
    <w:link w:val="Head2B"/>
    <w:rsid w:val="004E6570"/>
    <w:rPr>
      <w:rFonts w:ascii="Times New Roman" w:hAnsi="Times New Roman" w:cs="Times New Roman"/>
      <w:b/>
      <w:caps/>
      <w:noProof/>
    </w:rPr>
  </w:style>
  <w:style w:type="paragraph" w:customStyle="1" w:styleId="Head3">
    <w:name w:val="Head 3"/>
    <w:basedOn w:val="ListParagraph"/>
    <w:link w:val="Head3Char"/>
    <w:rsid w:val="004E65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E6570"/>
    <w:rPr>
      <w:rFonts w:ascii="Times New Roman" w:hAnsi="Times New Roman"/>
      <w:noProof/>
    </w:rPr>
  </w:style>
  <w:style w:type="character" w:customStyle="1" w:styleId="Head3Char">
    <w:name w:val="Head 3 Char"/>
    <w:basedOn w:val="ListParagraphChar"/>
    <w:link w:val="Head3"/>
    <w:rsid w:val="004E6570"/>
    <w:rPr>
      <w:rFonts w:ascii="Times New Roman" w:eastAsia="Times New Roman" w:hAnsi="Times New Roman" w:cs="Times New Roman"/>
      <w:b/>
      <w:bCs/>
      <w:noProof/>
    </w:rPr>
  </w:style>
  <w:style w:type="paragraph" w:customStyle="1" w:styleId="REG-H1a">
    <w:name w:val="REG-H1a"/>
    <w:link w:val="REG-H1aChar"/>
    <w:qFormat/>
    <w:rsid w:val="004E65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E65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E6570"/>
    <w:rPr>
      <w:rFonts w:ascii="Arial" w:hAnsi="Arial" w:cs="Arial"/>
      <w:b/>
      <w:noProof/>
      <w:sz w:val="36"/>
      <w:szCs w:val="36"/>
    </w:rPr>
  </w:style>
  <w:style w:type="paragraph" w:customStyle="1" w:styleId="AS-H1-Colour">
    <w:name w:val="AS-H1-Colour"/>
    <w:basedOn w:val="Normal"/>
    <w:link w:val="AS-H1-ColourChar"/>
    <w:rsid w:val="004E65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E6570"/>
    <w:rPr>
      <w:rFonts w:ascii="Times New Roman" w:hAnsi="Times New Roman" w:cs="Times New Roman"/>
      <w:b/>
      <w:caps/>
      <w:noProof/>
      <w:color w:val="00B050"/>
      <w:sz w:val="24"/>
      <w:szCs w:val="24"/>
    </w:rPr>
  </w:style>
  <w:style w:type="paragraph" w:customStyle="1" w:styleId="AS-H2b">
    <w:name w:val="AS-H2b"/>
    <w:basedOn w:val="Normal"/>
    <w:link w:val="AS-H2bChar"/>
    <w:rsid w:val="004E65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E6570"/>
    <w:rPr>
      <w:rFonts w:ascii="Arial" w:hAnsi="Arial" w:cs="Arial"/>
      <w:b/>
      <w:noProof/>
      <w:color w:val="00B050"/>
      <w:sz w:val="36"/>
      <w:szCs w:val="36"/>
    </w:rPr>
  </w:style>
  <w:style w:type="paragraph" w:customStyle="1" w:styleId="AS-H3">
    <w:name w:val="AS-H3"/>
    <w:basedOn w:val="AS-H3A"/>
    <w:link w:val="AS-H3Char"/>
    <w:rsid w:val="004E6570"/>
    <w:rPr>
      <w:sz w:val="28"/>
    </w:rPr>
  </w:style>
  <w:style w:type="character" w:customStyle="1" w:styleId="AS-H2bChar">
    <w:name w:val="AS-H2b Char"/>
    <w:basedOn w:val="DefaultParagraphFont"/>
    <w:link w:val="AS-H2b"/>
    <w:rsid w:val="004E6570"/>
    <w:rPr>
      <w:rFonts w:ascii="Arial" w:hAnsi="Arial" w:cs="Arial"/>
      <w:noProof/>
    </w:rPr>
  </w:style>
  <w:style w:type="paragraph" w:customStyle="1" w:styleId="REG-H3b">
    <w:name w:val="REG-H3b"/>
    <w:link w:val="REG-H3bChar"/>
    <w:qFormat/>
    <w:rsid w:val="004E65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E6570"/>
    <w:rPr>
      <w:rFonts w:ascii="Times New Roman" w:hAnsi="Times New Roman" w:cs="Times New Roman"/>
      <w:b/>
      <w:caps/>
      <w:noProof/>
      <w:sz w:val="28"/>
    </w:rPr>
  </w:style>
  <w:style w:type="paragraph" w:customStyle="1" w:styleId="AS-H3c">
    <w:name w:val="AS-H3c"/>
    <w:basedOn w:val="Head2B"/>
    <w:link w:val="AS-H3cChar"/>
    <w:rsid w:val="004E6570"/>
    <w:rPr>
      <w:b w:val="0"/>
    </w:rPr>
  </w:style>
  <w:style w:type="character" w:customStyle="1" w:styleId="REG-H3bChar">
    <w:name w:val="REG-H3b Char"/>
    <w:basedOn w:val="REG-H3AChar"/>
    <w:link w:val="REG-H3b"/>
    <w:rsid w:val="004E6570"/>
    <w:rPr>
      <w:rFonts w:ascii="Times New Roman" w:hAnsi="Times New Roman" w:cs="Times New Roman"/>
      <w:b w:val="0"/>
      <w:caps w:val="0"/>
      <w:noProof/>
    </w:rPr>
  </w:style>
  <w:style w:type="paragraph" w:customStyle="1" w:styleId="AS-H3d">
    <w:name w:val="AS-H3d"/>
    <w:basedOn w:val="Head2B"/>
    <w:link w:val="AS-H3dChar"/>
    <w:rsid w:val="004E6570"/>
  </w:style>
  <w:style w:type="character" w:customStyle="1" w:styleId="AS-H3cChar">
    <w:name w:val="AS-H3c Char"/>
    <w:basedOn w:val="Head2BChar"/>
    <w:link w:val="AS-H3c"/>
    <w:rsid w:val="004E6570"/>
    <w:rPr>
      <w:rFonts w:ascii="Times New Roman" w:hAnsi="Times New Roman" w:cs="Times New Roman"/>
      <w:b w:val="0"/>
      <w:caps/>
      <w:noProof/>
    </w:rPr>
  </w:style>
  <w:style w:type="paragraph" w:customStyle="1" w:styleId="REG-P0">
    <w:name w:val="REG-P(0)"/>
    <w:basedOn w:val="Normal"/>
    <w:link w:val="REG-P0Char"/>
    <w:qFormat/>
    <w:rsid w:val="004E6570"/>
    <w:pPr>
      <w:tabs>
        <w:tab w:val="left" w:pos="567"/>
      </w:tabs>
      <w:jc w:val="both"/>
    </w:pPr>
    <w:rPr>
      <w:rFonts w:eastAsia="Times New Roman" w:cs="Times New Roman"/>
    </w:rPr>
  </w:style>
  <w:style w:type="character" w:customStyle="1" w:styleId="AS-H3dChar">
    <w:name w:val="AS-H3d Char"/>
    <w:basedOn w:val="Head2BChar"/>
    <w:link w:val="AS-H3d"/>
    <w:rsid w:val="004E6570"/>
    <w:rPr>
      <w:rFonts w:ascii="Times New Roman" w:hAnsi="Times New Roman" w:cs="Times New Roman"/>
      <w:b/>
      <w:caps/>
      <w:noProof/>
    </w:rPr>
  </w:style>
  <w:style w:type="paragraph" w:customStyle="1" w:styleId="REG-P1">
    <w:name w:val="REG-P(1)"/>
    <w:basedOn w:val="Normal"/>
    <w:link w:val="REG-P1Char"/>
    <w:qFormat/>
    <w:rsid w:val="004E6570"/>
    <w:pPr>
      <w:suppressAutoHyphens/>
      <w:ind w:firstLine="567"/>
      <w:jc w:val="both"/>
    </w:pPr>
    <w:rPr>
      <w:rFonts w:eastAsia="Times New Roman" w:cs="Times New Roman"/>
    </w:rPr>
  </w:style>
  <w:style w:type="character" w:customStyle="1" w:styleId="REG-P0Char">
    <w:name w:val="REG-P(0) Char"/>
    <w:basedOn w:val="DefaultParagraphFont"/>
    <w:link w:val="REG-P0"/>
    <w:rsid w:val="004E6570"/>
    <w:rPr>
      <w:rFonts w:ascii="Times New Roman" w:eastAsia="Times New Roman" w:hAnsi="Times New Roman" w:cs="Times New Roman"/>
      <w:noProof/>
    </w:rPr>
  </w:style>
  <w:style w:type="paragraph" w:customStyle="1" w:styleId="REG-Pa">
    <w:name w:val="REG-P(a)"/>
    <w:basedOn w:val="Normal"/>
    <w:link w:val="REG-PaChar"/>
    <w:qFormat/>
    <w:rsid w:val="004E6570"/>
    <w:pPr>
      <w:ind w:left="1134" w:hanging="567"/>
      <w:jc w:val="both"/>
    </w:pPr>
  </w:style>
  <w:style w:type="character" w:customStyle="1" w:styleId="REG-P1Char">
    <w:name w:val="REG-P(1) Char"/>
    <w:basedOn w:val="DefaultParagraphFont"/>
    <w:link w:val="REG-P1"/>
    <w:rsid w:val="004E6570"/>
    <w:rPr>
      <w:rFonts w:ascii="Times New Roman" w:eastAsia="Times New Roman" w:hAnsi="Times New Roman" w:cs="Times New Roman"/>
      <w:noProof/>
    </w:rPr>
  </w:style>
  <w:style w:type="paragraph" w:customStyle="1" w:styleId="REG-Pi">
    <w:name w:val="REG-P(i)"/>
    <w:basedOn w:val="Normal"/>
    <w:link w:val="REG-PiChar"/>
    <w:qFormat/>
    <w:rsid w:val="004E65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4E6570"/>
    <w:rPr>
      <w:rFonts w:ascii="Times New Roman" w:hAnsi="Times New Roman"/>
      <w:noProof/>
    </w:rPr>
  </w:style>
  <w:style w:type="paragraph" w:customStyle="1" w:styleId="AS-Pahang">
    <w:name w:val="AS-P(a)hang"/>
    <w:basedOn w:val="Normal"/>
    <w:link w:val="AS-PahangChar"/>
    <w:rsid w:val="004E65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E6570"/>
    <w:rPr>
      <w:rFonts w:ascii="Times New Roman" w:eastAsia="Times New Roman" w:hAnsi="Times New Roman" w:cs="Times New Roman"/>
      <w:noProof/>
    </w:rPr>
  </w:style>
  <w:style w:type="paragraph" w:customStyle="1" w:styleId="REG-Paa">
    <w:name w:val="REG-P(aa)"/>
    <w:basedOn w:val="Normal"/>
    <w:link w:val="REG-PaaChar"/>
    <w:qFormat/>
    <w:rsid w:val="004E65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E6570"/>
    <w:rPr>
      <w:rFonts w:ascii="Times New Roman" w:eastAsia="Times New Roman" w:hAnsi="Times New Roman" w:cs="Times New Roman"/>
      <w:noProof/>
    </w:rPr>
  </w:style>
  <w:style w:type="paragraph" w:customStyle="1" w:styleId="REG-Amend">
    <w:name w:val="REG-Amend"/>
    <w:link w:val="REG-AmendChar"/>
    <w:qFormat/>
    <w:rsid w:val="004E65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E6570"/>
    <w:rPr>
      <w:rFonts w:ascii="Times New Roman" w:eastAsia="Times New Roman" w:hAnsi="Times New Roman" w:cs="Times New Roman"/>
      <w:noProof/>
    </w:rPr>
  </w:style>
  <w:style w:type="character" w:customStyle="1" w:styleId="REG-AmendChar">
    <w:name w:val="REG-Amend Char"/>
    <w:basedOn w:val="REG-P0Char"/>
    <w:link w:val="REG-Amend"/>
    <w:rsid w:val="004E65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E6570"/>
    <w:rPr>
      <w:sz w:val="16"/>
      <w:szCs w:val="16"/>
    </w:rPr>
  </w:style>
  <w:style w:type="paragraph" w:styleId="CommentText">
    <w:name w:val="annotation text"/>
    <w:basedOn w:val="Normal"/>
    <w:link w:val="CommentTextChar"/>
    <w:uiPriority w:val="99"/>
    <w:semiHidden/>
    <w:unhideWhenUsed/>
    <w:rsid w:val="004E6570"/>
    <w:rPr>
      <w:sz w:val="20"/>
      <w:szCs w:val="20"/>
    </w:rPr>
  </w:style>
  <w:style w:type="character" w:customStyle="1" w:styleId="CommentTextChar">
    <w:name w:val="Comment Text Char"/>
    <w:basedOn w:val="DefaultParagraphFont"/>
    <w:link w:val="CommentText"/>
    <w:uiPriority w:val="99"/>
    <w:semiHidden/>
    <w:rsid w:val="004E65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E6570"/>
    <w:rPr>
      <w:b/>
      <w:bCs/>
    </w:rPr>
  </w:style>
  <w:style w:type="character" w:customStyle="1" w:styleId="CommentSubjectChar">
    <w:name w:val="Comment Subject Char"/>
    <w:basedOn w:val="CommentTextChar"/>
    <w:link w:val="CommentSubject"/>
    <w:uiPriority w:val="99"/>
    <w:semiHidden/>
    <w:rsid w:val="004E6570"/>
    <w:rPr>
      <w:rFonts w:ascii="Times New Roman" w:hAnsi="Times New Roman"/>
      <w:b/>
      <w:bCs/>
      <w:noProof/>
      <w:sz w:val="20"/>
      <w:szCs w:val="20"/>
    </w:rPr>
  </w:style>
  <w:style w:type="paragraph" w:customStyle="1" w:styleId="AS-H4A">
    <w:name w:val="AS-H4A"/>
    <w:basedOn w:val="AS-P0"/>
    <w:link w:val="AS-H4AChar"/>
    <w:rsid w:val="004E6570"/>
    <w:pPr>
      <w:tabs>
        <w:tab w:val="clear" w:pos="567"/>
      </w:tabs>
      <w:jc w:val="center"/>
    </w:pPr>
    <w:rPr>
      <w:b/>
      <w:caps/>
    </w:rPr>
  </w:style>
  <w:style w:type="paragraph" w:customStyle="1" w:styleId="AS-H4b">
    <w:name w:val="AS-H4b"/>
    <w:basedOn w:val="AS-P0"/>
    <w:link w:val="AS-H4bChar"/>
    <w:rsid w:val="004E6570"/>
    <w:pPr>
      <w:tabs>
        <w:tab w:val="clear" w:pos="567"/>
      </w:tabs>
      <w:jc w:val="center"/>
    </w:pPr>
    <w:rPr>
      <w:b/>
    </w:rPr>
  </w:style>
  <w:style w:type="character" w:customStyle="1" w:styleId="AS-H4AChar">
    <w:name w:val="AS-H4A Char"/>
    <w:basedOn w:val="AS-P0Char"/>
    <w:link w:val="AS-H4A"/>
    <w:rsid w:val="004E6570"/>
    <w:rPr>
      <w:rFonts w:ascii="Times New Roman" w:eastAsia="Times New Roman" w:hAnsi="Times New Roman" w:cs="Times New Roman"/>
      <w:b/>
      <w:caps/>
      <w:noProof/>
    </w:rPr>
  </w:style>
  <w:style w:type="character" w:customStyle="1" w:styleId="AS-H4bChar">
    <w:name w:val="AS-H4b Char"/>
    <w:basedOn w:val="AS-P0Char"/>
    <w:link w:val="AS-H4b"/>
    <w:rsid w:val="004E6570"/>
    <w:rPr>
      <w:rFonts w:ascii="Times New Roman" w:eastAsia="Times New Roman" w:hAnsi="Times New Roman" w:cs="Times New Roman"/>
      <w:b/>
      <w:noProof/>
    </w:rPr>
  </w:style>
  <w:style w:type="paragraph" w:customStyle="1" w:styleId="AS-H2a">
    <w:name w:val="AS-H2a"/>
    <w:basedOn w:val="Normal"/>
    <w:link w:val="AS-H2aChar"/>
    <w:rsid w:val="004E65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E6570"/>
    <w:rPr>
      <w:rFonts w:ascii="Arial" w:hAnsi="Arial" w:cs="Arial"/>
      <w:b/>
      <w:noProof/>
    </w:rPr>
  </w:style>
  <w:style w:type="paragraph" w:customStyle="1" w:styleId="REG-H1d">
    <w:name w:val="REG-H1d"/>
    <w:link w:val="REG-H1dChar"/>
    <w:qFormat/>
    <w:rsid w:val="004E65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E6570"/>
    <w:rPr>
      <w:rFonts w:ascii="Arial" w:hAnsi="Arial" w:cs="Arial"/>
      <w:b w:val="0"/>
      <w:noProof/>
      <w:color w:val="000000"/>
      <w:szCs w:val="24"/>
      <w:lang w:val="en-ZA"/>
    </w:rPr>
  </w:style>
  <w:style w:type="table" w:styleId="TableGrid">
    <w:name w:val="Table Grid"/>
    <w:basedOn w:val="TableNormal"/>
    <w:uiPriority w:val="59"/>
    <w:rsid w:val="004E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E65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E6570"/>
    <w:rPr>
      <w:rFonts w:ascii="Times New Roman" w:eastAsia="Times New Roman" w:hAnsi="Times New Roman"/>
      <w:noProof/>
      <w:sz w:val="24"/>
      <w:szCs w:val="24"/>
      <w:lang w:val="en-US" w:eastAsia="en-US"/>
    </w:rPr>
  </w:style>
  <w:style w:type="paragraph" w:customStyle="1" w:styleId="AS-P0">
    <w:name w:val="AS-P(0)"/>
    <w:basedOn w:val="Normal"/>
    <w:link w:val="AS-P0Char"/>
    <w:rsid w:val="004E6570"/>
    <w:pPr>
      <w:tabs>
        <w:tab w:val="left" w:pos="567"/>
      </w:tabs>
      <w:jc w:val="both"/>
    </w:pPr>
    <w:rPr>
      <w:rFonts w:eastAsia="Times New Roman" w:cs="Times New Roman"/>
    </w:rPr>
  </w:style>
  <w:style w:type="character" w:customStyle="1" w:styleId="AS-P0Char">
    <w:name w:val="AS-P(0) Char"/>
    <w:basedOn w:val="DefaultParagraphFont"/>
    <w:link w:val="AS-P0"/>
    <w:rsid w:val="004E6570"/>
    <w:rPr>
      <w:rFonts w:ascii="Times New Roman" w:eastAsia="Times New Roman" w:hAnsi="Times New Roman" w:cs="Times New Roman"/>
      <w:noProof/>
    </w:rPr>
  </w:style>
  <w:style w:type="paragraph" w:customStyle="1" w:styleId="AS-H3A">
    <w:name w:val="AS-H3A"/>
    <w:basedOn w:val="Normal"/>
    <w:link w:val="AS-H3AChar"/>
    <w:rsid w:val="004E6570"/>
    <w:pPr>
      <w:autoSpaceDE w:val="0"/>
      <w:autoSpaceDN w:val="0"/>
      <w:adjustRightInd w:val="0"/>
      <w:jc w:val="center"/>
    </w:pPr>
    <w:rPr>
      <w:rFonts w:cs="Times New Roman"/>
      <w:b/>
      <w:caps/>
    </w:rPr>
  </w:style>
  <w:style w:type="character" w:customStyle="1" w:styleId="AS-H3AChar">
    <w:name w:val="AS-H3A Char"/>
    <w:basedOn w:val="DefaultParagraphFont"/>
    <w:link w:val="AS-H3A"/>
    <w:rsid w:val="004E6570"/>
    <w:rPr>
      <w:rFonts w:ascii="Times New Roman" w:hAnsi="Times New Roman" w:cs="Times New Roman"/>
      <w:b/>
      <w:caps/>
      <w:noProof/>
    </w:rPr>
  </w:style>
  <w:style w:type="paragraph" w:customStyle="1" w:styleId="AS-H1a">
    <w:name w:val="AS-H1a"/>
    <w:basedOn w:val="Normal"/>
    <w:link w:val="AS-H1aChar"/>
    <w:rsid w:val="004E65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E65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E6570"/>
    <w:rPr>
      <w:rFonts w:ascii="Arial" w:hAnsi="Arial" w:cs="Arial"/>
      <w:b/>
      <w:noProof/>
      <w:sz w:val="36"/>
      <w:szCs w:val="36"/>
    </w:rPr>
  </w:style>
  <w:style w:type="character" w:customStyle="1" w:styleId="AS-H2Char">
    <w:name w:val="AS-H2 Char"/>
    <w:basedOn w:val="DefaultParagraphFont"/>
    <w:link w:val="AS-H2"/>
    <w:rsid w:val="004E6570"/>
    <w:rPr>
      <w:rFonts w:ascii="Times New Roman" w:hAnsi="Times New Roman" w:cs="Times New Roman"/>
      <w:b/>
      <w:caps/>
      <w:noProof/>
      <w:color w:val="000000"/>
      <w:sz w:val="26"/>
    </w:rPr>
  </w:style>
  <w:style w:type="paragraph" w:customStyle="1" w:styleId="AS-H3b">
    <w:name w:val="AS-H3b"/>
    <w:basedOn w:val="Normal"/>
    <w:link w:val="AS-H3bChar"/>
    <w:autoRedefine/>
    <w:rsid w:val="004E6570"/>
    <w:pPr>
      <w:jc w:val="center"/>
    </w:pPr>
    <w:rPr>
      <w:rFonts w:cs="Times New Roman"/>
      <w:b/>
    </w:rPr>
  </w:style>
  <w:style w:type="character" w:customStyle="1" w:styleId="AS-H3bChar">
    <w:name w:val="AS-H3b Char"/>
    <w:basedOn w:val="AS-H3AChar"/>
    <w:link w:val="AS-H3b"/>
    <w:rsid w:val="004E6570"/>
    <w:rPr>
      <w:rFonts w:ascii="Times New Roman" w:hAnsi="Times New Roman" w:cs="Times New Roman"/>
      <w:b/>
      <w:caps w:val="0"/>
      <w:noProof/>
    </w:rPr>
  </w:style>
  <w:style w:type="paragraph" w:customStyle="1" w:styleId="AS-P1">
    <w:name w:val="AS-P(1)"/>
    <w:basedOn w:val="Normal"/>
    <w:link w:val="AS-P1Char"/>
    <w:rsid w:val="004E6570"/>
    <w:pPr>
      <w:suppressAutoHyphens/>
      <w:ind w:right="-7" w:firstLine="567"/>
      <w:jc w:val="both"/>
    </w:pPr>
    <w:rPr>
      <w:rFonts w:eastAsia="Times New Roman" w:cs="Times New Roman"/>
    </w:rPr>
  </w:style>
  <w:style w:type="paragraph" w:customStyle="1" w:styleId="AS-Pa">
    <w:name w:val="AS-P(a)"/>
    <w:basedOn w:val="AS-Pahang"/>
    <w:link w:val="AS-PaChar"/>
    <w:rsid w:val="004E6570"/>
  </w:style>
  <w:style w:type="character" w:customStyle="1" w:styleId="AS-P1Char">
    <w:name w:val="AS-P(1) Char"/>
    <w:basedOn w:val="DefaultParagraphFont"/>
    <w:link w:val="AS-P1"/>
    <w:rsid w:val="004E6570"/>
    <w:rPr>
      <w:rFonts w:ascii="Times New Roman" w:eastAsia="Times New Roman" w:hAnsi="Times New Roman" w:cs="Times New Roman"/>
      <w:noProof/>
    </w:rPr>
  </w:style>
  <w:style w:type="paragraph" w:customStyle="1" w:styleId="AS-Pi">
    <w:name w:val="AS-P(i)"/>
    <w:basedOn w:val="Normal"/>
    <w:link w:val="AS-PiChar"/>
    <w:rsid w:val="004E65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E6570"/>
    <w:rPr>
      <w:rFonts w:ascii="Times New Roman" w:eastAsia="Times New Roman" w:hAnsi="Times New Roman" w:cs="Times New Roman"/>
      <w:noProof/>
    </w:rPr>
  </w:style>
  <w:style w:type="character" w:customStyle="1" w:styleId="AS-PiChar">
    <w:name w:val="AS-P(i) Char"/>
    <w:basedOn w:val="DefaultParagraphFont"/>
    <w:link w:val="AS-Pi"/>
    <w:rsid w:val="004E6570"/>
    <w:rPr>
      <w:rFonts w:ascii="Times New Roman" w:eastAsia="Times New Roman" w:hAnsi="Times New Roman" w:cs="Times New Roman"/>
      <w:noProof/>
    </w:rPr>
  </w:style>
  <w:style w:type="paragraph" w:customStyle="1" w:styleId="AS-Paa">
    <w:name w:val="AS-P(aa)"/>
    <w:basedOn w:val="Normal"/>
    <w:link w:val="AS-PaaChar"/>
    <w:rsid w:val="004E6570"/>
    <w:pPr>
      <w:suppressAutoHyphens/>
      <w:ind w:left="2267" w:right="-7" w:hanging="566"/>
      <w:jc w:val="both"/>
    </w:pPr>
    <w:rPr>
      <w:rFonts w:eastAsia="Times New Roman" w:cs="Times New Roman"/>
    </w:rPr>
  </w:style>
  <w:style w:type="paragraph" w:customStyle="1" w:styleId="AS-P-Amend">
    <w:name w:val="AS-P-Amend"/>
    <w:link w:val="AS-P-AmendChar"/>
    <w:rsid w:val="004E65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E6570"/>
    <w:rPr>
      <w:rFonts w:ascii="Times New Roman" w:eastAsia="Times New Roman" w:hAnsi="Times New Roman" w:cs="Times New Roman"/>
      <w:noProof/>
    </w:rPr>
  </w:style>
  <w:style w:type="character" w:customStyle="1" w:styleId="AS-P-AmendChar">
    <w:name w:val="AS-P-Amend Char"/>
    <w:basedOn w:val="AS-P0Char"/>
    <w:link w:val="AS-P-Amend"/>
    <w:rsid w:val="004E6570"/>
    <w:rPr>
      <w:rFonts w:ascii="Arial" w:eastAsia="Times New Roman" w:hAnsi="Arial" w:cs="Arial"/>
      <w:b/>
      <w:noProof/>
      <w:color w:val="00B050"/>
      <w:sz w:val="18"/>
      <w:szCs w:val="18"/>
    </w:rPr>
  </w:style>
  <w:style w:type="paragraph" w:customStyle="1" w:styleId="AS-H1b">
    <w:name w:val="AS-H1b"/>
    <w:basedOn w:val="Normal"/>
    <w:link w:val="AS-H1bChar"/>
    <w:rsid w:val="004E6570"/>
    <w:pPr>
      <w:jc w:val="center"/>
    </w:pPr>
    <w:rPr>
      <w:rFonts w:ascii="Arial" w:hAnsi="Arial" w:cs="Arial"/>
      <w:b/>
      <w:color w:val="000000"/>
      <w:sz w:val="24"/>
      <w:szCs w:val="24"/>
    </w:rPr>
  </w:style>
  <w:style w:type="character" w:customStyle="1" w:styleId="AS-H1bChar">
    <w:name w:val="AS-H1b Char"/>
    <w:basedOn w:val="AS-H2aChar"/>
    <w:link w:val="AS-H1b"/>
    <w:rsid w:val="004E6570"/>
    <w:rPr>
      <w:rFonts w:ascii="Arial" w:hAnsi="Arial" w:cs="Arial"/>
      <w:b/>
      <w:noProof/>
      <w:color w:val="000000"/>
      <w:sz w:val="24"/>
      <w:szCs w:val="24"/>
    </w:rPr>
  </w:style>
  <w:style w:type="paragraph" w:customStyle="1" w:styleId="REG-H1b">
    <w:name w:val="REG-H1b"/>
    <w:link w:val="REG-H1bChar"/>
    <w:qFormat/>
    <w:rsid w:val="004E65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E6570"/>
    <w:rPr>
      <w:rFonts w:ascii="Times New Roman" w:eastAsia="Times New Roman" w:hAnsi="Times New Roman"/>
      <w:b/>
      <w:bCs/>
      <w:noProof/>
    </w:rPr>
  </w:style>
  <w:style w:type="paragraph" w:customStyle="1" w:styleId="TableParagraph">
    <w:name w:val="Table Paragraph"/>
    <w:basedOn w:val="Normal"/>
    <w:uiPriority w:val="1"/>
    <w:rsid w:val="004E6570"/>
  </w:style>
  <w:style w:type="table" w:customStyle="1" w:styleId="TableGrid0">
    <w:name w:val="TableGrid"/>
    <w:rsid w:val="004E65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E65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E6570"/>
    <w:rPr>
      <w:rFonts w:ascii="Arial" w:hAnsi="Arial"/>
      <w:b/>
      <w:noProof/>
      <w:sz w:val="28"/>
      <w:szCs w:val="24"/>
    </w:rPr>
  </w:style>
  <w:style w:type="character" w:customStyle="1" w:styleId="REG-H1cChar">
    <w:name w:val="REG-H1c Char"/>
    <w:basedOn w:val="REG-H1bChar"/>
    <w:link w:val="REG-H1c"/>
    <w:rsid w:val="004E6570"/>
    <w:rPr>
      <w:rFonts w:ascii="Arial" w:hAnsi="Arial"/>
      <w:b/>
      <w:noProof/>
      <w:sz w:val="24"/>
      <w:szCs w:val="24"/>
    </w:rPr>
  </w:style>
  <w:style w:type="paragraph" w:customStyle="1" w:styleId="REG-PHA">
    <w:name w:val="REG-PH(A)"/>
    <w:link w:val="REG-PHAChar"/>
    <w:qFormat/>
    <w:rsid w:val="004E6570"/>
    <w:pPr>
      <w:spacing w:after="0" w:line="240" w:lineRule="auto"/>
      <w:jc w:val="center"/>
    </w:pPr>
    <w:rPr>
      <w:rFonts w:ascii="Arial" w:hAnsi="Arial"/>
      <w:b/>
      <w:caps/>
      <w:noProof/>
      <w:sz w:val="16"/>
      <w:szCs w:val="24"/>
    </w:rPr>
  </w:style>
  <w:style w:type="paragraph" w:customStyle="1" w:styleId="REG-PHb">
    <w:name w:val="REG-PH(b)"/>
    <w:link w:val="REG-PHbChar"/>
    <w:qFormat/>
    <w:rsid w:val="004E65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E6570"/>
    <w:rPr>
      <w:rFonts w:ascii="Arial" w:hAnsi="Arial"/>
      <w:b/>
      <w:caps/>
      <w:noProof/>
      <w:sz w:val="16"/>
      <w:szCs w:val="24"/>
    </w:rPr>
  </w:style>
  <w:style w:type="character" w:customStyle="1" w:styleId="REG-PHbChar">
    <w:name w:val="REG-PH(b) Char"/>
    <w:basedOn w:val="REG-H1bChar"/>
    <w:link w:val="REG-PHb"/>
    <w:rsid w:val="004E6570"/>
    <w:rPr>
      <w:rFonts w:ascii="Arial" w:hAnsi="Arial" w:cs="Arial"/>
      <w:b/>
      <w:noProof/>
      <w:sz w:val="16"/>
      <w:szCs w:val="16"/>
    </w:rPr>
  </w:style>
  <w:style w:type="character" w:styleId="Hyperlink">
    <w:name w:val="Hyperlink"/>
    <w:uiPriority w:val="99"/>
    <w:qFormat/>
    <w:rsid w:val="00903DCA"/>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03DC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20/72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18A12-5B14-4B6C-A515-39687675F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37</TotalTime>
  <Pages>13</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Atomic Energy and Radiation Protection Act 5 of 2005-Regulations 2020-126</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Atomic Energy and Radiation Protection Act 5 of 2005-Regulations 2020-126</dc:title>
  <dc:subject/>
  <dc:creator>LAC</dc:creator>
  <cp:keywords/>
  <dc:description/>
  <cp:lastModifiedBy>Dianne Hubbard</cp:lastModifiedBy>
  <cp:revision>63</cp:revision>
  <dcterms:created xsi:type="dcterms:W3CDTF">2020-10-04T12:36:00Z</dcterms:created>
  <dcterms:modified xsi:type="dcterms:W3CDTF">2025-03-25T09:45:00Z</dcterms:modified>
</cp:coreProperties>
</file>