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>
            <wp:simplePos x="12700" y="10985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Pr="0088348A" w:rsidRDefault="0002202B" w:rsidP="008938F7">
      <w:pPr>
        <w:pStyle w:val="AS-H1a"/>
        <w:rPr>
          <w:position w:val="4"/>
          <w:sz w:val="20"/>
          <w:szCs w:val="20"/>
        </w:rPr>
      </w:pPr>
      <w:r w:rsidRPr="0002202B">
        <w:t>Suretyship Amendment Act 57 of 1971</w:t>
      </w:r>
      <w:r w:rsidR="009532C3">
        <w:t xml:space="preserve"> (</w:t>
      </w:r>
      <w:r w:rsidR="002C0BA9">
        <w:t>R</w:t>
      </w:r>
      <w:r w:rsidR="009532C3">
        <w:t>SA)</w:t>
      </w:r>
    </w:p>
    <w:p w:rsidR="008938F7" w:rsidRPr="00AC2903" w:rsidRDefault="008938F7" w:rsidP="005B23AF">
      <w:pPr>
        <w:pStyle w:val="AS-P-Amend"/>
      </w:pPr>
      <w:r w:rsidRPr="00AC2903">
        <w:t>(</w:t>
      </w:r>
      <w:r w:rsidR="002C0BA9">
        <w:t>R</w:t>
      </w:r>
      <w:r w:rsidR="009532C3">
        <w:t xml:space="preserve">SA </w:t>
      </w:r>
      <w:r w:rsidRPr="00AC2903">
        <w:t xml:space="preserve">GG </w:t>
      </w:r>
      <w:r w:rsidR="003148A8">
        <w:t>3149</w:t>
      </w:r>
      <w:r w:rsidRPr="00AC2903">
        <w:t>)</w:t>
      </w:r>
    </w:p>
    <w:p w:rsidR="008938F7" w:rsidRDefault="000468C7" w:rsidP="005B23AF">
      <w:pPr>
        <w:pStyle w:val="AS-P-Amend"/>
      </w:pPr>
      <w:r>
        <w:t xml:space="preserve">came into force </w:t>
      </w:r>
      <w:r w:rsidR="00430DE8">
        <w:t xml:space="preserve">in South Africa and South West Africa </w:t>
      </w:r>
      <w:r w:rsidR="00430DE8">
        <w:br/>
      </w:r>
      <w:r>
        <w:t>on date of publication:</w:t>
      </w:r>
      <w:r w:rsidR="00920037">
        <w:t xml:space="preserve"> </w:t>
      </w:r>
      <w:r w:rsidR="003148A8">
        <w:t>16 June 1971</w:t>
      </w:r>
    </w:p>
    <w:p w:rsidR="00430DE8" w:rsidRPr="00AC2903" w:rsidRDefault="00430DE8" w:rsidP="005B23AF">
      <w:pPr>
        <w:pStyle w:val="AS-P-Amend"/>
      </w:pPr>
      <w:r>
        <w:t xml:space="preserve">(see section 4 of Act) </w:t>
      </w:r>
    </w:p>
    <w:p w:rsidR="006737D3" w:rsidRPr="006737D3" w:rsidRDefault="006737D3" w:rsidP="00AA41AD">
      <w:pPr>
        <w:pStyle w:val="AS-H1b"/>
      </w:pPr>
    </w:p>
    <w:p w:rsidR="00430DE8" w:rsidRDefault="00430DE8" w:rsidP="00430DE8">
      <w:pPr>
        <w:jc w:val="both"/>
        <w:rPr>
          <w:rFonts w:ascii="Arial" w:hAnsi="Arial" w:cs="Arial"/>
          <w:b/>
          <w:color w:val="0070C0"/>
          <w:sz w:val="18"/>
          <w:szCs w:val="18"/>
          <w:lang w:val="en-ZA"/>
        </w:rPr>
      </w:pPr>
      <w:r w:rsidRPr="00430DE8">
        <w:rPr>
          <w:rFonts w:ascii="Arial" w:hAnsi="Arial" w:cs="Arial"/>
          <w:b/>
          <w:color w:val="0070C0"/>
          <w:sz w:val="18"/>
          <w:szCs w:val="18"/>
          <w:lang w:val="en-ZA"/>
        </w:rPr>
        <w:t>APPLICABILITY TO SOUTH WEST AFRICA: Section 4 states “</w:t>
      </w:r>
      <w:r w:rsidRPr="00430DE8">
        <w:rPr>
          <w:rFonts w:ascii="Arial" w:hAnsi="Arial" w:cs="Arial"/>
          <w:color w:val="0070C0"/>
          <w:sz w:val="18"/>
          <w:szCs w:val="18"/>
          <w:lang w:val="en-ZA"/>
        </w:rPr>
        <w:t>This Act shall apply also in the territory of South West Africa, including the Eastern Caprivi Zipfel</w:t>
      </w:r>
      <w:r w:rsidRPr="00430DE8">
        <w:rPr>
          <w:rFonts w:ascii="Arial" w:hAnsi="Arial" w:cs="Arial"/>
          <w:b/>
          <w:color w:val="0070C0"/>
          <w:sz w:val="18"/>
          <w:szCs w:val="18"/>
          <w:lang w:val="en-ZA"/>
        </w:rPr>
        <w:t>.” This wording d</w:t>
      </w:r>
      <w:r w:rsidR="004E1594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id </w:t>
      </w:r>
      <w:r w:rsidRPr="00430DE8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not make amendments to the Act in South Africa automatically applicable to South West Africa, but there were </w:t>
      </w:r>
      <w:r w:rsidR="000C68E2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in any event </w:t>
      </w:r>
      <w:r w:rsidRPr="00430DE8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no amendments to the Act in South Africa prior to Namibian independence. </w:t>
      </w:r>
    </w:p>
    <w:p w:rsidR="00D90827" w:rsidRDefault="00D90827" w:rsidP="00430DE8">
      <w:pPr>
        <w:jc w:val="both"/>
        <w:rPr>
          <w:rFonts w:ascii="Arial" w:hAnsi="Arial" w:cs="Arial"/>
          <w:b/>
          <w:color w:val="0070C0"/>
          <w:sz w:val="18"/>
          <w:szCs w:val="18"/>
          <w:lang w:val="en-ZA"/>
        </w:rPr>
      </w:pPr>
    </w:p>
    <w:p w:rsidR="00D90827" w:rsidRPr="00ED0C3B" w:rsidRDefault="00D90827" w:rsidP="00430DE8">
      <w:pPr>
        <w:jc w:val="both"/>
        <w:rPr>
          <w:rFonts w:ascii="Arial" w:hAnsi="Arial" w:cs="Arial"/>
          <w:b/>
          <w:color w:val="0070C0"/>
          <w:spacing w:val="-2"/>
          <w:sz w:val="18"/>
          <w:szCs w:val="18"/>
          <w:lang w:val="en-ZA"/>
        </w:rPr>
      </w:pPr>
      <w:r w:rsidRPr="00ED0C3B">
        <w:rPr>
          <w:rFonts w:ascii="Arial" w:hAnsi="Arial" w:cs="Arial"/>
          <w:b/>
          <w:color w:val="0070C0"/>
          <w:sz w:val="18"/>
          <w:szCs w:val="18"/>
          <w:lang w:val="en-ZA"/>
        </w:rPr>
        <w:t>TRANSFER TO SOUTH WEST AFRICA: The administration of the Act does not appear to have been</w:t>
      </w:r>
      <w:r w:rsidRPr="00ED0C3B">
        <w:rPr>
          <w:rFonts w:ascii="Arial" w:hAnsi="Arial" w:cs="Arial"/>
          <w:b/>
          <w:color w:val="0070C0"/>
          <w:spacing w:val="-2"/>
          <w:sz w:val="18"/>
          <w:szCs w:val="18"/>
          <w:lang w:val="en-ZA"/>
        </w:rPr>
        <w:t xml:space="preserve"> </w:t>
      </w:r>
      <w:r w:rsidRPr="00ED0C3B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transferred to South West Africa. In any event, </w:t>
      </w:r>
      <w:r w:rsidR="00C506A2" w:rsidRPr="00ED0C3B">
        <w:rPr>
          <w:rFonts w:ascii="Arial" w:hAnsi="Arial" w:cs="Arial"/>
          <w:b/>
          <w:color w:val="0070C0"/>
          <w:sz w:val="18"/>
          <w:szCs w:val="18"/>
          <w:lang w:val="en-ZA"/>
        </w:rPr>
        <w:t xml:space="preserve">the issue of transfer is not relevant to the content of </w:t>
      </w:r>
      <w:r w:rsidR="00C506A2" w:rsidRPr="00ED0C3B">
        <w:rPr>
          <w:rFonts w:ascii="Arial" w:hAnsi="Arial" w:cs="Arial"/>
          <w:b/>
          <w:color w:val="0070C0"/>
          <w:spacing w:val="-2"/>
          <w:sz w:val="18"/>
          <w:szCs w:val="18"/>
          <w:lang w:val="en-ZA"/>
        </w:rPr>
        <w:t>the Act since there were no amendments to the Act in South Africa</w:t>
      </w:r>
      <w:r w:rsidR="00F5792E" w:rsidRPr="00ED0C3B">
        <w:rPr>
          <w:rFonts w:ascii="Arial" w:hAnsi="Arial" w:cs="Arial"/>
          <w:b/>
          <w:color w:val="0070C0"/>
          <w:spacing w:val="-2"/>
          <w:sz w:val="18"/>
          <w:szCs w:val="18"/>
          <w:lang w:val="en-ZA"/>
        </w:rPr>
        <w:t xml:space="preserve"> prior to Namibian independence.</w:t>
      </w:r>
    </w:p>
    <w:p w:rsidR="00430DE8" w:rsidRDefault="00430DE8" w:rsidP="00430DE8">
      <w:pPr>
        <w:pStyle w:val="AS-P0"/>
        <w:jc w:val="center"/>
        <w:rPr>
          <w:lang w:val="en-ZA"/>
        </w:rPr>
      </w:pPr>
    </w:p>
    <w:p w:rsidR="00430DE8" w:rsidRPr="007D4DA7" w:rsidRDefault="00430DE8" w:rsidP="00430DE8">
      <w:pPr>
        <w:pStyle w:val="AS-H1b"/>
        <w:rPr>
          <w:color w:val="00B050"/>
        </w:rPr>
      </w:pPr>
      <w:r w:rsidRPr="007D4DA7">
        <w:rPr>
          <w:color w:val="00B050"/>
        </w:rPr>
        <w:t>as amended by</w:t>
      </w:r>
    </w:p>
    <w:p w:rsidR="00430DE8" w:rsidRPr="00A22FE9" w:rsidRDefault="00430DE8" w:rsidP="00430DE8">
      <w:pPr>
        <w:pStyle w:val="AS-P0"/>
        <w:jc w:val="center"/>
      </w:pPr>
    </w:p>
    <w:p w:rsidR="00430DE8" w:rsidRDefault="00430DE8" w:rsidP="00430DE8">
      <w:pPr>
        <w:jc w:val="center"/>
        <w:rPr>
          <w:lang w:val="en-ZA"/>
        </w:rPr>
      </w:pPr>
      <w:r w:rsidRPr="00430DE8">
        <w:rPr>
          <w:rStyle w:val="AS-H1bChar"/>
        </w:rPr>
        <w:t>Bills of Exchange Act 22 of 2003</w:t>
      </w:r>
      <w:r w:rsidRPr="00430DE8">
        <w:rPr>
          <w:lang w:val="en-ZA"/>
        </w:rPr>
        <w:t xml:space="preserve"> </w:t>
      </w:r>
      <w:r w:rsidRPr="00430DE8">
        <w:rPr>
          <w:rStyle w:val="AS-P-AmendChar"/>
          <w:rFonts w:eastAsiaTheme="minorHAnsi"/>
        </w:rPr>
        <w:t>(</w:t>
      </w:r>
      <w:r w:rsidRPr="00430DE8">
        <w:rPr>
          <w:rStyle w:val="AS-P-AmendChar"/>
          <w:rFonts w:eastAsiaTheme="minorHAnsi"/>
          <w:lang w:val="en-ZA"/>
        </w:rPr>
        <w:t>GG 3121</w:t>
      </w:r>
      <w:r w:rsidRPr="00430DE8">
        <w:rPr>
          <w:rStyle w:val="AS-P-AmendChar"/>
          <w:rFonts w:eastAsiaTheme="minorHAnsi"/>
        </w:rPr>
        <w:t>)</w:t>
      </w:r>
    </w:p>
    <w:p w:rsidR="00430DE8" w:rsidRPr="00B5793E" w:rsidRDefault="00430DE8" w:rsidP="00430DE8">
      <w:pPr>
        <w:pStyle w:val="AS-P-Amend"/>
        <w:rPr>
          <w:lang w:val="en-ZA"/>
        </w:rPr>
      </w:pPr>
      <w:r>
        <w:rPr>
          <w:lang w:val="en-ZA"/>
        </w:rPr>
        <w:t xml:space="preserve">brought </w:t>
      </w:r>
      <w:r w:rsidRPr="00B5793E">
        <w:rPr>
          <w:lang w:val="en-ZA"/>
        </w:rPr>
        <w:t xml:space="preserve">into </w:t>
      </w:r>
      <w:r>
        <w:rPr>
          <w:lang w:val="en-ZA"/>
        </w:rPr>
        <w:t xml:space="preserve">force </w:t>
      </w:r>
      <w:r w:rsidRPr="00B5793E">
        <w:rPr>
          <w:lang w:val="en-ZA"/>
        </w:rPr>
        <w:t xml:space="preserve">on 15 May 2004 </w:t>
      </w:r>
      <w:r>
        <w:rPr>
          <w:lang w:val="en-ZA"/>
        </w:rPr>
        <w:t xml:space="preserve">by </w:t>
      </w:r>
      <w:r w:rsidRPr="00B5793E">
        <w:rPr>
          <w:lang w:val="en-ZA"/>
        </w:rPr>
        <w:t xml:space="preserve">GN 110/2004 </w:t>
      </w:r>
      <w:r>
        <w:rPr>
          <w:lang w:val="en-ZA"/>
        </w:rPr>
        <w:t>(</w:t>
      </w:r>
      <w:r w:rsidRPr="00430DE8">
        <w:rPr>
          <w:rFonts w:cs="Times New Roman"/>
          <w:lang w:val="en-ZA"/>
        </w:rPr>
        <w:t>GG 3207</w:t>
      </w:r>
      <w:r w:rsidRPr="00B5793E">
        <w:rPr>
          <w:lang w:val="en-ZA"/>
        </w:rPr>
        <w:t>)</w:t>
      </w: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2E3094" w:rsidRDefault="007D662E" w:rsidP="008938F7">
      <w:pPr>
        <w:pStyle w:val="AS-H1a"/>
      </w:pPr>
      <w:r>
        <w:t>ACT</w:t>
      </w:r>
    </w:p>
    <w:p w:rsidR="008938F7" w:rsidRPr="002E3094" w:rsidRDefault="008938F7" w:rsidP="008938F7"/>
    <w:p w:rsidR="005A3B1B" w:rsidRPr="003F0949" w:rsidRDefault="005A3B1B" w:rsidP="005A3B1B">
      <w:pPr>
        <w:pStyle w:val="AS-P0"/>
        <w:rPr>
          <w:b/>
        </w:rPr>
      </w:pPr>
      <w:r w:rsidRPr="003F0949">
        <w:rPr>
          <w:b/>
        </w:rPr>
        <w:t xml:space="preserve">To amend the law relating to suretyship and other intercessions in respect of debt; and to </w:t>
      </w:r>
      <w:r>
        <w:rPr>
          <w:b/>
        </w:rPr>
        <w:t>provide for incidental matters.</w:t>
      </w:r>
    </w:p>
    <w:p w:rsidR="005A3B1B" w:rsidRPr="00E37C08" w:rsidRDefault="005A3B1B" w:rsidP="005A3B1B">
      <w:pPr>
        <w:pStyle w:val="AS-P0"/>
      </w:pPr>
    </w:p>
    <w:p w:rsidR="005A3B1B" w:rsidRDefault="005A3B1B" w:rsidP="005A3B1B">
      <w:pPr>
        <w:pStyle w:val="AS-P0"/>
        <w:jc w:val="center"/>
        <w:rPr>
          <w:i/>
          <w:iCs/>
        </w:rPr>
      </w:pPr>
      <w:r w:rsidRPr="00E37C08">
        <w:rPr>
          <w:i/>
          <w:iCs/>
        </w:rPr>
        <w:t>(Afrikaans text signed by the State President)</w:t>
      </w:r>
    </w:p>
    <w:p w:rsidR="00143E17" w:rsidRPr="005B23AF" w:rsidRDefault="005A3B1B" w:rsidP="005A3B1B">
      <w:pPr>
        <w:pStyle w:val="AS-P0"/>
        <w:jc w:val="center"/>
        <w:rPr>
          <w:b/>
          <w:i/>
        </w:rPr>
      </w:pPr>
      <w:r w:rsidRPr="00E37C08">
        <w:rPr>
          <w:i/>
          <w:iCs/>
        </w:rPr>
        <w:t xml:space="preserve">(Assented to </w:t>
      </w:r>
      <w:r w:rsidRPr="005A3B1B">
        <w:rPr>
          <w:iCs/>
        </w:rPr>
        <w:t>4</w:t>
      </w:r>
      <w:r w:rsidRPr="00E37C08">
        <w:rPr>
          <w:i/>
          <w:iCs/>
        </w:rPr>
        <w:t xml:space="preserve">th June, </w:t>
      </w:r>
      <w:r w:rsidRPr="005A3B1B">
        <w:rPr>
          <w:iCs/>
        </w:rPr>
        <w:t>1971</w:t>
      </w:r>
      <w:r w:rsidRPr="00E37C08">
        <w:rPr>
          <w:i/>
          <w:iCs/>
        </w:rPr>
        <w:t>)</w:t>
      </w: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5955EA" w:rsidRPr="00AC2903" w:rsidRDefault="005955EA" w:rsidP="005B23AF">
      <w:pPr>
        <w:pStyle w:val="AS-H1a"/>
        <w:pBdr>
          <w:between w:val="single" w:sz="4" w:space="1" w:color="auto"/>
        </w:pBdr>
      </w:pPr>
    </w:p>
    <w:p w:rsidR="008938F7" w:rsidRPr="0045130E" w:rsidRDefault="008938F7" w:rsidP="008B568D">
      <w:pPr>
        <w:pStyle w:val="AS-H2"/>
        <w:rPr>
          <w:color w:val="00B050"/>
        </w:rPr>
      </w:pPr>
      <w:r w:rsidRPr="0045130E">
        <w:rPr>
          <w:color w:val="00B050"/>
        </w:rPr>
        <w:t>ARRANGEMENT OF SECTIONS</w:t>
      </w:r>
    </w:p>
    <w:p w:rsidR="00417EA7" w:rsidRPr="0045130E" w:rsidRDefault="00417EA7" w:rsidP="00417EA7">
      <w:pPr>
        <w:pStyle w:val="Default"/>
        <w:rPr>
          <w:color w:val="00B050"/>
        </w:rPr>
      </w:pPr>
    </w:p>
    <w:p w:rsidR="008604B2" w:rsidRPr="0045130E" w:rsidRDefault="00417EA7" w:rsidP="00417EA7">
      <w:pPr>
        <w:pStyle w:val="AS-P0"/>
        <w:rPr>
          <w:color w:val="00B050"/>
        </w:rPr>
      </w:pPr>
      <w:r w:rsidRPr="0045130E">
        <w:rPr>
          <w:color w:val="00B050"/>
        </w:rPr>
        <w:t>1.</w:t>
      </w:r>
      <w:r w:rsidRPr="0045130E">
        <w:rPr>
          <w:color w:val="00B050"/>
        </w:rPr>
        <w:tab/>
        <w:t>Abolition of certain rules of law</w:t>
      </w:r>
    </w:p>
    <w:p w:rsidR="00417EA7" w:rsidRPr="0045130E" w:rsidRDefault="00417EA7" w:rsidP="00417EA7">
      <w:pPr>
        <w:pStyle w:val="AS-P0"/>
        <w:rPr>
          <w:color w:val="00B050"/>
        </w:rPr>
      </w:pPr>
      <w:r w:rsidRPr="0045130E">
        <w:rPr>
          <w:color w:val="00B050"/>
        </w:rPr>
        <w:t>2.</w:t>
      </w:r>
      <w:r w:rsidRPr="0045130E">
        <w:rPr>
          <w:color w:val="00B050"/>
        </w:rPr>
        <w:tab/>
        <w:t>Repeal of laws</w:t>
      </w:r>
    </w:p>
    <w:p w:rsidR="00417EA7" w:rsidRPr="0045130E" w:rsidRDefault="00417EA7" w:rsidP="00417EA7">
      <w:pPr>
        <w:pStyle w:val="AS-P0"/>
        <w:rPr>
          <w:color w:val="00B050"/>
        </w:rPr>
      </w:pPr>
      <w:r w:rsidRPr="0045130E">
        <w:rPr>
          <w:color w:val="00B050"/>
        </w:rPr>
        <w:t>3.</w:t>
      </w:r>
      <w:r w:rsidRPr="0045130E">
        <w:rPr>
          <w:color w:val="00B050"/>
        </w:rPr>
        <w:tab/>
        <w:t>Saving</w:t>
      </w:r>
    </w:p>
    <w:p w:rsidR="00417EA7" w:rsidRPr="0045130E" w:rsidRDefault="00417EA7" w:rsidP="00417EA7">
      <w:pPr>
        <w:pStyle w:val="AS-P0"/>
        <w:rPr>
          <w:color w:val="00B050"/>
        </w:rPr>
      </w:pPr>
      <w:r w:rsidRPr="0045130E">
        <w:rPr>
          <w:color w:val="00B050"/>
        </w:rPr>
        <w:t>4.</w:t>
      </w:r>
      <w:r w:rsidRPr="0045130E">
        <w:rPr>
          <w:color w:val="00B050"/>
        </w:rPr>
        <w:tab/>
        <w:t>Application in South-West Africa</w:t>
      </w:r>
    </w:p>
    <w:p w:rsidR="00417EA7" w:rsidRDefault="00417EA7" w:rsidP="00417EA7">
      <w:pPr>
        <w:pStyle w:val="AS-P0"/>
        <w:rPr>
          <w:color w:val="00B050"/>
        </w:rPr>
      </w:pPr>
      <w:r w:rsidRPr="0045130E">
        <w:rPr>
          <w:color w:val="00B050"/>
        </w:rPr>
        <w:t>5.</w:t>
      </w:r>
      <w:r w:rsidRPr="0045130E">
        <w:rPr>
          <w:color w:val="00B050"/>
        </w:rPr>
        <w:tab/>
        <w:t>Short title</w:t>
      </w:r>
    </w:p>
    <w:p w:rsidR="00EE00DB" w:rsidRDefault="00EE00DB" w:rsidP="00417EA7">
      <w:pPr>
        <w:pStyle w:val="AS-P0"/>
        <w:rPr>
          <w:color w:val="00B050"/>
        </w:rPr>
      </w:pPr>
    </w:p>
    <w:p w:rsidR="00EE00DB" w:rsidRPr="0045130E" w:rsidRDefault="00EE00DB" w:rsidP="00417EA7">
      <w:pPr>
        <w:pStyle w:val="AS-P0"/>
        <w:rPr>
          <w:color w:val="00B050"/>
        </w:rPr>
      </w:pPr>
      <w:r>
        <w:rPr>
          <w:color w:val="00B050"/>
        </w:rPr>
        <w:t>Schedule</w:t>
      </w:r>
      <w:r w:rsidR="00B96C28">
        <w:rPr>
          <w:color w:val="00B050"/>
        </w:rPr>
        <w:t xml:space="preserve">: </w:t>
      </w:r>
      <w:r w:rsidR="00B96C28" w:rsidRPr="00B96C28">
        <w:rPr>
          <w:smallCaps/>
          <w:color w:val="00B050"/>
        </w:rPr>
        <w:t>Laws Repealed</w:t>
      </w:r>
    </w:p>
    <w:p w:rsidR="00143E17" w:rsidRPr="002E3094" w:rsidRDefault="00143E17" w:rsidP="00447229">
      <w:pPr>
        <w:pStyle w:val="AS-P0"/>
      </w:pPr>
    </w:p>
    <w:p w:rsidR="00876774" w:rsidRPr="00876774" w:rsidRDefault="00876774" w:rsidP="0087677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76774" w:rsidRDefault="00876774" w:rsidP="00876774">
      <w:pPr>
        <w:pStyle w:val="AS-P0"/>
      </w:pPr>
      <w:r w:rsidRPr="006D2004">
        <w:rPr>
          <w:spacing w:val="-2"/>
        </w:rPr>
        <w:t>BE IT ENACTED by the State President, the Senate and the House of Assembly of the Republic</w:t>
      </w:r>
      <w:r w:rsidRPr="00876774">
        <w:t xml:space="preserve"> of South Africa, as follows:</w:t>
      </w:r>
      <w:r w:rsidR="00CF67F3">
        <w:t>-</w:t>
      </w:r>
    </w:p>
    <w:p w:rsidR="00876774" w:rsidRDefault="00876774" w:rsidP="00876774">
      <w:pPr>
        <w:pStyle w:val="AS-P0"/>
      </w:pPr>
    </w:p>
    <w:p w:rsidR="0045130E" w:rsidRDefault="0045130E" w:rsidP="00876774">
      <w:pPr>
        <w:pStyle w:val="AS-P0"/>
        <w:rPr>
          <w:b/>
        </w:rPr>
      </w:pPr>
      <w:r w:rsidRPr="00FD51B1">
        <w:rPr>
          <w:b/>
        </w:rPr>
        <w:t>Abolition of certain rules of law</w:t>
      </w:r>
    </w:p>
    <w:p w:rsidR="0045130E" w:rsidRPr="00876774" w:rsidRDefault="0045130E" w:rsidP="00876774">
      <w:pPr>
        <w:pStyle w:val="AS-P0"/>
      </w:pPr>
    </w:p>
    <w:p w:rsidR="00876774" w:rsidRDefault="00CF67F3" w:rsidP="007771FE">
      <w:pPr>
        <w:pStyle w:val="AS-P1"/>
      </w:pPr>
      <w:r w:rsidRPr="0045130E">
        <w:rPr>
          <w:b/>
        </w:rPr>
        <w:t>1.</w:t>
      </w:r>
      <w:r>
        <w:tab/>
      </w:r>
      <w:r w:rsidR="00876774" w:rsidRPr="00876774">
        <w:t>The rules of</w:t>
      </w:r>
      <w:r w:rsidR="00494958">
        <w:t xml:space="preserve"> </w:t>
      </w:r>
      <w:r w:rsidR="00876774" w:rsidRPr="00876774">
        <w:t xml:space="preserve">law known as the </w:t>
      </w:r>
      <w:r w:rsidR="00876774" w:rsidRPr="00494958">
        <w:rPr>
          <w:i/>
        </w:rPr>
        <w:t>Senatusconsultum Velleianum</w:t>
      </w:r>
      <w:r w:rsidR="00876774" w:rsidRPr="00876774">
        <w:t xml:space="preserve"> and the </w:t>
      </w:r>
      <w:r w:rsidR="00876774" w:rsidRPr="00494958">
        <w:rPr>
          <w:i/>
        </w:rPr>
        <w:t>Authentica si qua mulier</w:t>
      </w:r>
      <w:r w:rsidR="00876774" w:rsidRPr="00876774">
        <w:t xml:space="preserve"> shall as from the commencement of this Act cease to have the force of law. </w:t>
      </w:r>
    </w:p>
    <w:p w:rsidR="00CF67F3" w:rsidRDefault="00CF67F3" w:rsidP="00876774">
      <w:pPr>
        <w:pStyle w:val="AS-P0"/>
      </w:pPr>
    </w:p>
    <w:p w:rsidR="0045130E" w:rsidRDefault="0045130E" w:rsidP="00876774">
      <w:pPr>
        <w:pStyle w:val="AS-P0"/>
        <w:rPr>
          <w:b/>
        </w:rPr>
      </w:pPr>
      <w:r w:rsidRPr="00FD51B1">
        <w:rPr>
          <w:b/>
        </w:rPr>
        <w:t>Repeal of laws</w:t>
      </w:r>
    </w:p>
    <w:p w:rsidR="0045130E" w:rsidRPr="00876774" w:rsidRDefault="0045130E" w:rsidP="00876774">
      <w:pPr>
        <w:pStyle w:val="AS-P0"/>
      </w:pPr>
    </w:p>
    <w:p w:rsidR="00876774" w:rsidRPr="00876774" w:rsidRDefault="00CF67F3" w:rsidP="00266F67">
      <w:pPr>
        <w:pStyle w:val="AS-P1"/>
      </w:pPr>
      <w:r w:rsidRPr="0045130E">
        <w:rPr>
          <w:b/>
        </w:rPr>
        <w:t>2.</w:t>
      </w:r>
      <w:r>
        <w:tab/>
      </w:r>
      <w:r w:rsidR="00876774" w:rsidRPr="00876774">
        <w:t xml:space="preserve">The laws specified in the Schedule are hereby repealed to the extent set out in the third column thereof. </w:t>
      </w:r>
      <w:bookmarkStart w:id="0" w:name="_GoBack"/>
      <w:bookmarkEnd w:id="0"/>
    </w:p>
    <w:p w:rsidR="0045130E" w:rsidRDefault="0045130E" w:rsidP="00876774">
      <w:pPr>
        <w:pStyle w:val="AS-P0"/>
      </w:pPr>
    </w:p>
    <w:p w:rsidR="0045130E" w:rsidRDefault="0045130E" w:rsidP="00876774">
      <w:pPr>
        <w:pStyle w:val="AS-P0"/>
      </w:pPr>
      <w:r w:rsidRPr="00FD51B1">
        <w:rPr>
          <w:b/>
        </w:rPr>
        <w:t>Saving</w:t>
      </w:r>
      <w:r>
        <w:t xml:space="preserve"> </w:t>
      </w:r>
    </w:p>
    <w:p w:rsidR="0045130E" w:rsidRDefault="0045130E" w:rsidP="00876774">
      <w:pPr>
        <w:pStyle w:val="AS-P0"/>
      </w:pPr>
    </w:p>
    <w:p w:rsidR="00876774" w:rsidRPr="00876774" w:rsidRDefault="00CF67F3" w:rsidP="00266F67">
      <w:pPr>
        <w:pStyle w:val="AS-P1"/>
      </w:pPr>
      <w:r w:rsidRPr="0045130E">
        <w:rPr>
          <w:b/>
        </w:rPr>
        <w:t>3.</w:t>
      </w:r>
      <w:r>
        <w:tab/>
      </w:r>
      <w:r w:rsidR="00876774" w:rsidRPr="00876774">
        <w:t xml:space="preserve">The provisions of this Act shall not apply in relation to a juristic act performed before the commencement thereof. </w:t>
      </w:r>
    </w:p>
    <w:p w:rsidR="00CF67F3" w:rsidRDefault="00CF67F3" w:rsidP="00876774">
      <w:pPr>
        <w:pStyle w:val="AS-P0"/>
      </w:pPr>
    </w:p>
    <w:p w:rsidR="0045130E" w:rsidRDefault="0045130E" w:rsidP="00876774">
      <w:pPr>
        <w:pStyle w:val="AS-P0"/>
        <w:rPr>
          <w:b/>
        </w:rPr>
      </w:pPr>
      <w:r w:rsidRPr="00FD51B1">
        <w:rPr>
          <w:b/>
        </w:rPr>
        <w:t>Application in South-West Africa</w:t>
      </w:r>
    </w:p>
    <w:p w:rsidR="0045130E" w:rsidRDefault="0045130E" w:rsidP="00876774">
      <w:pPr>
        <w:pStyle w:val="AS-P0"/>
      </w:pPr>
    </w:p>
    <w:p w:rsidR="00876774" w:rsidRPr="00876774" w:rsidRDefault="00CF67F3" w:rsidP="00266F67">
      <w:pPr>
        <w:pStyle w:val="AS-P1"/>
      </w:pPr>
      <w:r w:rsidRPr="0045130E">
        <w:rPr>
          <w:b/>
        </w:rPr>
        <w:t>4.</w:t>
      </w:r>
      <w:r>
        <w:tab/>
      </w:r>
      <w:r w:rsidR="00876774" w:rsidRPr="00876774">
        <w:t xml:space="preserve">This Act shall apply also in the territory of South-West Africa, including the Eastern Caprivi Zipfel. </w:t>
      </w:r>
    </w:p>
    <w:p w:rsidR="00CF67F3" w:rsidRDefault="00CF67F3" w:rsidP="00876774">
      <w:pPr>
        <w:pStyle w:val="AS-P0"/>
      </w:pPr>
    </w:p>
    <w:p w:rsidR="0045130E" w:rsidRDefault="0045130E" w:rsidP="00876774">
      <w:pPr>
        <w:pStyle w:val="AS-P0"/>
        <w:rPr>
          <w:b/>
        </w:rPr>
      </w:pPr>
      <w:r w:rsidRPr="00FD51B1">
        <w:rPr>
          <w:b/>
        </w:rPr>
        <w:t>Short title</w:t>
      </w:r>
    </w:p>
    <w:p w:rsidR="0045130E" w:rsidRDefault="0045130E" w:rsidP="00876774">
      <w:pPr>
        <w:pStyle w:val="AS-P0"/>
      </w:pPr>
    </w:p>
    <w:p w:rsidR="00876774" w:rsidRPr="00876774" w:rsidRDefault="00CF67F3" w:rsidP="00266F67">
      <w:pPr>
        <w:pStyle w:val="AS-P1"/>
      </w:pPr>
      <w:r w:rsidRPr="0045130E">
        <w:rPr>
          <w:b/>
        </w:rPr>
        <w:t>5.</w:t>
      </w:r>
      <w:r>
        <w:tab/>
      </w:r>
      <w:r w:rsidR="00876774" w:rsidRPr="00876774">
        <w:t xml:space="preserve">This Act shall be called the Suretyship Amendment Act, 1971. </w:t>
      </w:r>
    </w:p>
    <w:p w:rsidR="00714BA2" w:rsidRDefault="00714BA2" w:rsidP="00447229">
      <w:pPr>
        <w:pStyle w:val="AS-P0"/>
      </w:pPr>
    </w:p>
    <w:p w:rsidR="007B477D" w:rsidRDefault="007B477D" w:rsidP="00447229">
      <w:pPr>
        <w:pStyle w:val="AS-P0"/>
      </w:pPr>
    </w:p>
    <w:p w:rsidR="00E37C08" w:rsidRPr="007B477D" w:rsidRDefault="007B477D" w:rsidP="007B477D">
      <w:pPr>
        <w:pStyle w:val="Default"/>
        <w:jc w:val="center"/>
        <w:rPr>
          <w:b/>
        </w:rPr>
      </w:pPr>
      <w:r w:rsidRPr="007B477D">
        <w:rPr>
          <w:b/>
        </w:rPr>
        <w:t>Schedule</w:t>
      </w:r>
    </w:p>
    <w:p w:rsidR="009229E0" w:rsidRDefault="009229E0" w:rsidP="007B477D">
      <w:pPr>
        <w:pStyle w:val="AS-H3b"/>
      </w:pPr>
    </w:p>
    <w:p w:rsidR="007B477D" w:rsidRDefault="007B477D" w:rsidP="007B477D">
      <w:pPr>
        <w:pStyle w:val="AS-H3b"/>
      </w:pPr>
      <w:r>
        <w:t>Laws Repealed</w:t>
      </w:r>
    </w:p>
    <w:p w:rsidR="00430DE8" w:rsidRDefault="00430DE8" w:rsidP="007B477D">
      <w:pPr>
        <w:pStyle w:val="AS-H3b"/>
      </w:pPr>
    </w:p>
    <w:p w:rsidR="00430DE8" w:rsidRDefault="00430DE8" w:rsidP="00430DE8">
      <w:pPr>
        <w:pStyle w:val="AS-P-Amend"/>
      </w:pPr>
      <w:r>
        <w:t>[Schedule amended by Act 22 of 2003]</w:t>
      </w:r>
    </w:p>
    <w:p w:rsidR="00280DCD" w:rsidRPr="00E37C08" w:rsidRDefault="00280DCD" w:rsidP="005A3B1B">
      <w:pPr>
        <w:pStyle w:val="AS-P0"/>
        <w:jc w:val="center"/>
      </w:pPr>
    </w:p>
    <w:p w:rsidR="00B16870" w:rsidRPr="00B16870" w:rsidRDefault="00B16870" w:rsidP="00B16870">
      <w:pPr>
        <w:kinsoku w:val="0"/>
        <w:overflowPunct w:val="0"/>
        <w:autoSpaceDE w:val="0"/>
        <w:autoSpaceDN w:val="0"/>
        <w:adjustRightInd w:val="0"/>
        <w:spacing w:before="10"/>
        <w:rPr>
          <w:rFonts w:cs="Times New Roman"/>
          <w:sz w:val="5"/>
          <w:szCs w:val="5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543"/>
      </w:tblGrid>
      <w:tr w:rsidR="009B12C5" w:rsidRPr="009B12C5" w:rsidTr="00B477BF"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9B12C5" w:rsidRPr="009B12C5" w:rsidRDefault="009B12C5" w:rsidP="00985B32">
            <w:pPr>
              <w:pStyle w:val="AS-P0"/>
              <w:jc w:val="center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No. and Year.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12C5" w:rsidRPr="009B12C5" w:rsidRDefault="009B12C5" w:rsidP="00985B32">
            <w:pPr>
              <w:pStyle w:val="AS-P0"/>
              <w:jc w:val="center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Title or Subject Matter.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</w:tcPr>
          <w:p w:rsidR="009B12C5" w:rsidRPr="009B12C5" w:rsidRDefault="009B12C5" w:rsidP="00985B32">
            <w:pPr>
              <w:pStyle w:val="AS-P0"/>
              <w:jc w:val="center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Extent of Repeal.</w:t>
            </w:r>
          </w:p>
        </w:tc>
      </w:tr>
      <w:tr w:rsidR="00861495" w:rsidRPr="009B12C5" w:rsidTr="00B477BF">
        <w:tc>
          <w:tcPr>
            <w:tcW w:w="1560" w:type="dxa"/>
            <w:tcBorders>
              <w:left w:val="nil"/>
              <w:bottom w:val="nil"/>
            </w:tcBorders>
          </w:tcPr>
          <w:p w:rsidR="00861495" w:rsidRPr="009B12C5" w:rsidRDefault="00861495" w:rsidP="009B12C5">
            <w:pPr>
              <w:pStyle w:val="AS-P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61495" w:rsidRPr="006D7A85" w:rsidRDefault="006D7A85" w:rsidP="006D7A85">
            <w:pPr>
              <w:pStyle w:val="AS-P0"/>
              <w:jc w:val="center"/>
              <w:rPr>
                <w:smallCaps/>
                <w:sz w:val="20"/>
                <w:szCs w:val="20"/>
              </w:rPr>
            </w:pPr>
            <w:r w:rsidRPr="006D7A85">
              <w:rPr>
                <w:smallCaps/>
                <w:sz w:val="20"/>
                <w:szCs w:val="20"/>
              </w:rPr>
              <w:t>Republic</w:t>
            </w:r>
          </w:p>
        </w:tc>
        <w:tc>
          <w:tcPr>
            <w:tcW w:w="3543" w:type="dxa"/>
            <w:tcBorders>
              <w:bottom w:val="nil"/>
              <w:right w:val="nil"/>
            </w:tcBorders>
          </w:tcPr>
          <w:p w:rsidR="00861495" w:rsidRPr="009B12C5" w:rsidRDefault="00861495" w:rsidP="009B12C5">
            <w:pPr>
              <w:pStyle w:val="AS-P0"/>
              <w:rPr>
                <w:sz w:val="20"/>
                <w:szCs w:val="20"/>
              </w:rPr>
            </w:pPr>
          </w:p>
        </w:tc>
      </w:tr>
      <w:tr w:rsidR="000F51A7" w:rsidRPr="009B12C5" w:rsidTr="00B477BF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F51A7" w:rsidRPr="009B12C5" w:rsidRDefault="008F4AA1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Act 13 of 1944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F51A7" w:rsidRPr="006D7A85" w:rsidRDefault="00116026" w:rsidP="00E92110">
            <w:pPr>
              <w:pStyle w:val="AS-P0"/>
              <w:jc w:val="left"/>
              <w:rPr>
                <w:smallCaps/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 xml:space="preserve">Land Bank Act, </w:t>
            </w:r>
            <w:r>
              <w:rPr>
                <w:sz w:val="20"/>
                <w:szCs w:val="20"/>
              </w:rPr>
              <w:t>1944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0F51A7" w:rsidRPr="009B12C5" w:rsidRDefault="00116026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 xml:space="preserve">Section </w:t>
            </w:r>
            <w:r w:rsidRPr="00105331">
              <w:rPr>
                <w:iCs/>
                <w:sz w:val="20"/>
                <w:szCs w:val="20"/>
              </w:rPr>
              <w:t>50</w:t>
            </w:r>
            <w:r w:rsidRPr="009B12C5">
              <w:rPr>
                <w:i/>
                <w:iCs/>
                <w:sz w:val="20"/>
                <w:szCs w:val="20"/>
              </w:rPr>
              <w:t>bis.</w:t>
            </w:r>
          </w:p>
        </w:tc>
      </w:tr>
      <w:tr w:rsidR="00AE628D" w:rsidRPr="009B12C5" w:rsidTr="00B477BF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AE628D" w:rsidRPr="009B12C5" w:rsidRDefault="00AE628D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Act 24 of 1965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E628D" w:rsidRPr="009B12C5" w:rsidRDefault="00AE628D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Building Societies Act, 1965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AE628D" w:rsidRPr="009B12C5" w:rsidRDefault="00AE628D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Section 68(3).</w:t>
            </w:r>
          </w:p>
        </w:tc>
      </w:tr>
      <w:tr w:rsidR="00DA37B7" w:rsidRPr="009B12C5" w:rsidTr="00B477BF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DA37B7" w:rsidRPr="009B12C5" w:rsidRDefault="00DA37B7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Act 46 of 1965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A37B7" w:rsidRPr="009B12C5" w:rsidRDefault="00DA37B7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Land Bank Amendment Act,</w:t>
            </w:r>
            <w:r w:rsidR="004F2C56">
              <w:rPr>
                <w:sz w:val="20"/>
                <w:szCs w:val="20"/>
              </w:rPr>
              <w:t xml:space="preserve"> </w:t>
            </w:r>
            <w:r w:rsidR="00A354A8">
              <w:rPr>
                <w:sz w:val="20"/>
                <w:szCs w:val="20"/>
              </w:rPr>
              <w:t>1965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DA37B7" w:rsidRPr="009B12C5" w:rsidRDefault="00F30A99" w:rsidP="00E92110">
            <w:pPr>
              <w:pStyle w:val="AS-P0"/>
              <w:jc w:val="left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Section 10.</w:t>
            </w:r>
          </w:p>
        </w:tc>
      </w:tr>
      <w:tr w:rsidR="00E1281A" w:rsidRPr="009B12C5" w:rsidTr="00B477BF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1281A" w:rsidRPr="009B12C5" w:rsidRDefault="00E1281A" w:rsidP="009B12C5">
            <w:pPr>
              <w:pStyle w:val="AS-P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1281A" w:rsidRPr="009B12C5" w:rsidRDefault="00E1281A" w:rsidP="00E1281A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Natal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E1281A" w:rsidRPr="009B12C5" w:rsidRDefault="00E1281A" w:rsidP="00452075">
            <w:pPr>
              <w:pStyle w:val="AS-P0"/>
              <w:jc w:val="left"/>
              <w:rPr>
                <w:sz w:val="20"/>
                <w:szCs w:val="20"/>
              </w:rPr>
            </w:pPr>
          </w:p>
        </w:tc>
      </w:tr>
      <w:tr w:rsidR="00214067" w:rsidRPr="009B12C5" w:rsidTr="00B477BF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214067" w:rsidRPr="009B12C5" w:rsidRDefault="00214067" w:rsidP="00E92110">
            <w:pPr>
              <w:pStyle w:val="AS-P0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Law 40 of 1884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14067" w:rsidRDefault="00214067" w:rsidP="00E92110">
            <w:pPr>
              <w:pStyle w:val="AS-P0"/>
              <w:rPr>
                <w:smallCaps/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To Regulate Renunciations in Bonds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:rsidR="00214067" w:rsidRPr="009B12C5" w:rsidRDefault="00214067" w:rsidP="00E92110">
            <w:pPr>
              <w:pStyle w:val="AS-P0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Section 2 and Schedules B, C and  D.</w:t>
            </w:r>
          </w:p>
        </w:tc>
      </w:tr>
      <w:tr w:rsidR="00710E94" w:rsidRPr="009B12C5" w:rsidTr="00B477BF">
        <w:tc>
          <w:tcPr>
            <w:tcW w:w="1560" w:type="dxa"/>
            <w:tcBorders>
              <w:top w:val="nil"/>
              <w:left w:val="nil"/>
            </w:tcBorders>
          </w:tcPr>
          <w:p w:rsidR="00710E94" w:rsidRPr="009B12C5" w:rsidRDefault="00710E94" w:rsidP="00E92110">
            <w:pPr>
              <w:pStyle w:val="AS-P0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Act 13 of 1909</w:t>
            </w:r>
          </w:p>
        </w:tc>
        <w:tc>
          <w:tcPr>
            <w:tcW w:w="3402" w:type="dxa"/>
            <w:tcBorders>
              <w:top w:val="nil"/>
            </w:tcBorders>
          </w:tcPr>
          <w:p w:rsidR="00710E94" w:rsidRPr="009B12C5" w:rsidRDefault="00710E94" w:rsidP="00E92110">
            <w:pPr>
              <w:pStyle w:val="AS-P0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 xml:space="preserve">To amend Law No. 40, </w:t>
            </w:r>
            <w:r>
              <w:rPr>
                <w:sz w:val="20"/>
                <w:szCs w:val="20"/>
              </w:rPr>
              <w:t>1884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710E94" w:rsidRPr="009B12C5" w:rsidRDefault="00FA312A" w:rsidP="00E92110">
            <w:pPr>
              <w:pStyle w:val="AS-P0"/>
              <w:rPr>
                <w:sz w:val="20"/>
                <w:szCs w:val="20"/>
              </w:rPr>
            </w:pPr>
            <w:r w:rsidRPr="009B12C5">
              <w:rPr>
                <w:sz w:val="20"/>
                <w:szCs w:val="20"/>
              </w:rPr>
              <w:t>The whole.</w:t>
            </w:r>
          </w:p>
        </w:tc>
      </w:tr>
    </w:tbl>
    <w:p w:rsidR="00280DCD" w:rsidRPr="00737805" w:rsidRDefault="00280DCD" w:rsidP="00447229">
      <w:pPr>
        <w:pStyle w:val="AS-P0"/>
      </w:pPr>
    </w:p>
    <w:sectPr w:rsidR="00280DCD" w:rsidRPr="00737805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2B" w:rsidRDefault="00387D2B">
      <w:r>
        <w:separator/>
      </w:r>
    </w:p>
  </w:endnote>
  <w:endnote w:type="continuationSeparator" w:id="0">
    <w:p w:rsidR="00387D2B" w:rsidRDefault="0038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2B" w:rsidRDefault="00387D2B">
      <w:r>
        <w:separator/>
      </w:r>
    </w:p>
  </w:footnote>
  <w:footnote w:type="continuationSeparator" w:id="0">
    <w:p w:rsidR="00387D2B" w:rsidRDefault="0038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DB6765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DB6765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A938FD">
      <w:rPr>
        <w:rFonts w:ascii="Arial" w:hAnsi="Arial" w:cs="Arial"/>
        <w:b/>
        <w:sz w:val="16"/>
        <w:szCs w:val="16"/>
      </w:rPr>
      <w:t>2</w:t>
    </w:r>
    <w:r w:rsidR="00DB6765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D2CB1" w:rsidP="00382133">
    <w:pPr>
      <w:pStyle w:val="ASHeader"/>
    </w:pPr>
    <w:r w:rsidRPr="0002202B">
      <w:t>Suretyship Amendment Act 57 of 1971</w:t>
    </w:r>
    <w:r w:rsidR="009532C3">
      <w:t xml:space="preserve"> (</w:t>
    </w:r>
    <w:r w:rsidR="00D94D33">
      <w:t>R</w:t>
    </w:r>
    <w:r w:rsidR="009532C3">
      <w:t>SA)</w:t>
    </w:r>
    <w:r w:rsidR="00BF0042" w:rsidRPr="00DC6273">
      <w:t xml:space="preserve"> 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EB32E5"/>
    <w:multiLevelType w:val="hybridMultilevel"/>
    <w:tmpl w:val="A7A78E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xszCwMDc2MDE0MjRU0lEKTi0uzszPAykwrAUAdQSyZCwAAAA="/>
  </w:docVars>
  <w:rsids>
    <w:rsidRoot w:val="007247C8"/>
    <w:rsid w:val="00000812"/>
    <w:rsid w:val="00003DCF"/>
    <w:rsid w:val="00004F6B"/>
    <w:rsid w:val="00005EE8"/>
    <w:rsid w:val="00010B81"/>
    <w:rsid w:val="000133A8"/>
    <w:rsid w:val="00021692"/>
    <w:rsid w:val="0002202B"/>
    <w:rsid w:val="00023D2F"/>
    <w:rsid w:val="000242FF"/>
    <w:rsid w:val="00024D3E"/>
    <w:rsid w:val="00037C82"/>
    <w:rsid w:val="00044972"/>
    <w:rsid w:val="00045A94"/>
    <w:rsid w:val="000468C7"/>
    <w:rsid w:val="00053D75"/>
    <w:rsid w:val="000608EE"/>
    <w:rsid w:val="000614EF"/>
    <w:rsid w:val="000622BB"/>
    <w:rsid w:val="000636FC"/>
    <w:rsid w:val="00066DEF"/>
    <w:rsid w:val="0007067C"/>
    <w:rsid w:val="000744EC"/>
    <w:rsid w:val="00074AFC"/>
    <w:rsid w:val="000753C4"/>
    <w:rsid w:val="000757E1"/>
    <w:rsid w:val="00077C38"/>
    <w:rsid w:val="00080C29"/>
    <w:rsid w:val="00080C45"/>
    <w:rsid w:val="000814D8"/>
    <w:rsid w:val="000835C8"/>
    <w:rsid w:val="00084A4D"/>
    <w:rsid w:val="0008734E"/>
    <w:rsid w:val="00087B91"/>
    <w:rsid w:val="000A2439"/>
    <w:rsid w:val="000A4D98"/>
    <w:rsid w:val="000A7F4A"/>
    <w:rsid w:val="000B4FB6"/>
    <w:rsid w:val="000B54EB"/>
    <w:rsid w:val="000B5509"/>
    <w:rsid w:val="000B60FA"/>
    <w:rsid w:val="000C01AC"/>
    <w:rsid w:val="000C416E"/>
    <w:rsid w:val="000C5263"/>
    <w:rsid w:val="000C68E2"/>
    <w:rsid w:val="000D2F5A"/>
    <w:rsid w:val="000D3B3A"/>
    <w:rsid w:val="000E21FC"/>
    <w:rsid w:val="000E427F"/>
    <w:rsid w:val="000E5C90"/>
    <w:rsid w:val="000F1E72"/>
    <w:rsid w:val="000F1F0F"/>
    <w:rsid w:val="000F4429"/>
    <w:rsid w:val="000F51A7"/>
    <w:rsid w:val="000F7993"/>
    <w:rsid w:val="00105331"/>
    <w:rsid w:val="001128C3"/>
    <w:rsid w:val="00116026"/>
    <w:rsid w:val="00121135"/>
    <w:rsid w:val="00123F41"/>
    <w:rsid w:val="00131447"/>
    <w:rsid w:val="00133371"/>
    <w:rsid w:val="00141D64"/>
    <w:rsid w:val="00142743"/>
    <w:rsid w:val="00143E17"/>
    <w:rsid w:val="001471FB"/>
    <w:rsid w:val="00152AB1"/>
    <w:rsid w:val="001565F4"/>
    <w:rsid w:val="00157469"/>
    <w:rsid w:val="0015761F"/>
    <w:rsid w:val="001636EC"/>
    <w:rsid w:val="00164718"/>
    <w:rsid w:val="0017615B"/>
    <w:rsid w:val="001761C1"/>
    <w:rsid w:val="0018091F"/>
    <w:rsid w:val="00186652"/>
    <w:rsid w:val="001908F9"/>
    <w:rsid w:val="001A01EF"/>
    <w:rsid w:val="001A2D4C"/>
    <w:rsid w:val="001A3F00"/>
    <w:rsid w:val="001B032A"/>
    <w:rsid w:val="001B0E17"/>
    <w:rsid w:val="001B25DF"/>
    <w:rsid w:val="001B2C14"/>
    <w:rsid w:val="001B66AB"/>
    <w:rsid w:val="001B76F4"/>
    <w:rsid w:val="001C081C"/>
    <w:rsid w:val="001C1B1A"/>
    <w:rsid w:val="001C3895"/>
    <w:rsid w:val="001C39E6"/>
    <w:rsid w:val="001D22A0"/>
    <w:rsid w:val="001D6485"/>
    <w:rsid w:val="001E2B91"/>
    <w:rsid w:val="001E402E"/>
    <w:rsid w:val="001E42D4"/>
    <w:rsid w:val="001F2A4A"/>
    <w:rsid w:val="001F702E"/>
    <w:rsid w:val="00214067"/>
    <w:rsid w:val="00221C58"/>
    <w:rsid w:val="00233852"/>
    <w:rsid w:val="00233DEB"/>
    <w:rsid w:val="002352A3"/>
    <w:rsid w:val="0023567D"/>
    <w:rsid w:val="002360C2"/>
    <w:rsid w:val="00255B09"/>
    <w:rsid w:val="00255CF2"/>
    <w:rsid w:val="00261EC4"/>
    <w:rsid w:val="00265308"/>
    <w:rsid w:val="002655B6"/>
    <w:rsid w:val="00266F67"/>
    <w:rsid w:val="00275EF6"/>
    <w:rsid w:val="00277A81"/>
    <w:rsid w:val="00280DCD"/>
    <w:rsid w:val="002831B8"/>
    <w:rsid w:val="00286A4D"/>
    <w:rsid w:val="00286E57"/>
    <w:rsid w:val="002907F0"/>
    <w:rsid w:val="002964E7"/>
    <w:rsid w:val="00297948"/>
    <w:rsid w:val="002A044B"/>
    <w:rsid w:val="002A4499"/>
    <w:rsid w:val="002A6CF2"/>
    <w:rsid w:val="002B4E1F"/>
    <w:rsid w:val="002C0BA9"/>
    <w:rsid w:val="002D1D4C"/>
    <w:rsid w:val="002D4ED3"/>
    <w:rsid w:val="002D5078"/>
    <w:rsid w:val="002E3094"/>
    <w:rsid w:val="002E3521"/>
    <w:rsid w:val="002E35ED"/>
    <w:rsid w:val="002E5D69"/>
    <w:rsid w:val="002F4347"/>
    <w:rsid w:val="002F5273"/>
    <w:rsid w:val="00304858"/>
    <w:rsid w:val="00312523"/>
    <w:rsid w:val="003148A8"/>
    <w:rsid w:val="0032149E"/>
    <w:rsid w:val="00326D8F"/>
    <w:rsid w:val="0032725D"/>
    <w:rsid w:val="00330E75"/>
    <w:rsid w:val="00331329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208D"/>
    <w:rsid w:val="00376F71"/>
    <w:rsid w:val="003778DA"/>
    <w:rsid w:val="00377FBD"/>
    <w:rsid w:val="00380074"/>
    <w:rsid w:val="00380973"/>
    <w:rsid w:val="00382133"/>
    <w:rsid w:val="003837C6"/>
    <w:rsid w:val="00384EC1"/>
    <w:rsid w:val="00387C99"/>
    <w:rsid w:val="00387D2B"/>
    <w:rsid w:val="003942CB"/>
    <w:rsid w:val="00394930"/>
    <w:rsid w:val="00394B3B"/>
    <w:rsid w:val="003A5DAC"/>
    <w:rsid w:val="003B39C8"/>
    <w:rsid w:val="003B440D"/>
    <w:rsid w:val="003B6242"/>
    <w:rsid w:val="003B6581"/>
    <w:rsid w:val="003C37A0"/>
    <w:rsid w:val="003C5F5A"/>
    <w:rsid w:val="003C5FB5"/>
    <w:rsid w:val="003C7232"/>
    <w:rsid w:val="003D233B"/>
    <w:rsid w:val="003D49C4"/>
    <w:rsid w:val="003D4EAA"/>
    <w:rsid w:val="003D76EF"/>
    <w:rsid w:val="003E2DE5"/>
    <w:rsid w:val="003E6206"/>
    <w:rsid w:val="003E76D6"/>
    <w:rsid w:val="003F0949"/>
    <w:rsid w:val="003F10F7"/>
    <w:rsid w:val="003F6496"/>
    <w:rsid w:val="003F6D96"/>
    <w:rsid w:val="00401FBB"/>
    <w:rsid w:val="00406360"/>
    <w:rsid w:val="004064C4"/>
    <w:rsid w:val="00416A53"/>
    <w:rsid w:val="00416DA6"/>
    <w:rsid w:val="00417EA7"/>
    <w:rsid w:val="00420253"/>
    <w:rsid w:val="00422C75"/>
    <w:rsid w:val="00424C03"/>
    <w:rsid w:val="00426221"/>
    <w:rsid w:val="00430DE8"/>
    <w:rsid w:val="004347BA"/>
    <w:rsid w:val="00443021"/>
    <w:rsid w:val="0044500A"/>
    <w:rsid w:val="00447229"/>
    <w:rsid w:val="0045130E"/>
    <w:rsid w:val="00452075"/>
    <w:rsid w:val="00453046"/>
    <w:rsid w:val="00453682"/>
    <w:rsid w:val="0045465C"/>
    <w:rsid w:val="00456986"/>
    <w:rsid w:val="0046410D"/>
    <w:rsid w:val="00464663"/>
    <w:rsid w:val="00466077"/>
    <w:rsid w:val="00471EFC"/>
    <w:rsid w:val="00474D22"/>
    <w:rsid w:val="00481E77"/>
    <w:rsid w:val="00490D21"/>
    <w:rsid w:val="00491FC6"/>
    <w:rsid w:val="004920DB"/>
    <w:rsid w:val="00494958"/>
    <w:rsid w:val="00494F0F"/>
    <w:rsid w:val="0049507E"/>
    <w:rsid w:val="004A01D1"/>
    <w:rsid w:val="004A3F64"/>
    <w:rsid w:val="004B13C6"/>
    <w:rsid w:val="004B5A3C"/>
    <w:rsid w:val="004B7846"/>
    <w:rsid w:val="004C1DA0"/>
    <w:rsid w:val="004C25CF"/>
    <w:rsid w:val="004C5485"/>
    <w:rsid w:val="004D0854"/>
    <w:rsid w:val="004D2FFC"/>
    <w:rsid w:val="004D67C8"/>
    <w:rsid w:val="004E1594"/>
    <w:rsid w:val="004E3340"/>
    <w:rsid w:val="004E4868"/>
    <w:rsid w:val="004E5244"/>
    <w:rsid w:val="004F0719"/>
    <w:rsid w:val="004F2C56"/>
    <w:rsid w:val="004F7202"/>
    <w:rsid w:val="004F72F4"/>
    <w:rsid w:val="00501CAB"/>
    <w:rsid w:val="00503297"/>
    <w:rsid w:val="005101FF"/>
    <w:rsid w:val="00512242"/>
    <w:rsid w:val="00512DA3"/>
    <w:rsid w:val="00514000"/>
    <w:rsid w:val="00514885"/>
    <w:rsid w:val="00515D04"/>
    <w:rsid w:val="00524ECC"/>
    <w:rsid w:val="00527973"/>
    <w:rsid w:val="00527ABE"/>
    <w:rsid w:val="00532451"/>
    <w:rsid w:val="005334A1"/>
    <w:rsid w:val="00542D73"/>
    <w:rsid w:val="0055440A"/>
    <w:rsid w:val="005575C4"/>
    <w:rsid w:val="0056066A"/>
    <w:rsid w:val="005646F3"/>
    <w:rsid w:val="00572B50"/>
    <w:rsid w:val="00574AEC"/>
    <w:rsid w:val="00577B02"/>
    <w:rsid w:val="00580EC5"/>
    <w:rsid w:val="00582A2E"/>
    <w:rsid w:val="0058749F"/>
    <w:rsid w:val="005955EA"/>
    <w:rsid w:val="00597B78"/>
    <w:rsid w:val="005A2789"/>
    <w:rsid w:val="005A3B1B"/>
    <w:rsid w:val="005B23AF"/>
    <w:rsid w:val="005B598C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20D0"/>
    <w:rsid w:val="005E4505"/>
    <w:rsid w:val="005E75FD"/>
    <w:rsid w:val="005F28C6"/>
    <w:rsid w:val="00601274"/>
    <w:rsid w:val="00604AAC"/>
    <w:rsid w:val="006055D5"/>
    <w:rsid w:val="00607964"/>
    <w:rsid w:val="00613086"/>
    <w:rsid w:val="0062075A"/>
    <w:rsid w:val="006271AA"/>
    <w:rsid w:val="00627729"/>
    <w:rsid w:val="006335C5"/>
    <w:rsid w:val="00633B75"/>
    <w:rsid w:val="00634DA7"/>
    <w:rsid w:val="006350C4"/>
    <w:rsid w:val="00636D28"/>
    <w:rsid w:val="00642844"/>
    <w:rsid w:val="0064409B"/>
    <w:rsid w:val="0064447B"/>
    <w:rsid w:val="00645C44"/>
    <w:rsid w:val="00651EA5"/>
    <w:rsid w:val="0065745C"/>
    <w:rsid w:val="00660511"/>
    <w:rsid w:val="006704C7"/>
    <w:rsid w:val="00672978"/>
    <w:rsid w:val="006737D3"/>
    <w:rsid w:val="0067435B"/>
    <w:rsid w:val="0067609F"/>
    <w:rsid w:val="00687058"/>
    <w:rsid w:val="00694677"/>
    <w:rsid w:val="00696983"/>
    <w:rsid w:val="00697FAC"/>
    <w:rsid w:val="006A03A3"/>
    <w:rsid w:val="006A11C3"/>
    <w:rsid w:val="006A6EA7"/>
    <w:rsid w:val="006A74BC"/>
    <w:rsid w:val="006B0358"/>
    <w:rsid w:val="006B0C6C"/>
    <w:rsid w:val="006B503F"/>
    <w:rsid w:val="006B64A8"/>
    <w:rsid w:val="006C24CB"/>
    <w:rsid w:val="006C6020"/>
    <w:rsid w:val="006D0225"/>
    <w:rsid w:val="006D1681"/>
    <w:rsid w:val="006D2004"/>
    <w:rsid w:val="006D2E1F"/>
    <w:rsid w:val="006D67CA"/>
    <w:rsid w:val="006D7A85"/>
    <w:rsid w:val="006E3C85"/>
    <w:rsid w:val="006F36FE"/>
    <w:rsid w:val="006F594C"/>
    <w:rsid w:val="006F7F2A"/>
    <w:rsid w:val="00701118"/>
    <w:rsid w:val="00701C8B"/>
    <w:rsid w:val="00704C6B"/>
    <w:rsid w:val="00705BD4"/>
    <w:rsid w:val="00706159"/>
    <w:rsid w:val="007107EE"/>
    <w:rsid w:val="00710BFF"/>
    <w:rsid w:val="00710E94"/>
    <w:rsid w:val="00714BA2"/>
    <w:rsid w:val="007166C4"/>
    <w:rsid w:val="007211A4"/>
    <w:rsid w:val="007247C8"/>
    <w:rsid w:val="00726D6D"/>
    <w:rsid w:val="00727E48"/>
    <w:rsid w:val="00732D8B"/>
    <w:rsid w:val="00737805"/>
    <w:rsid w:val="007379CF"/>
    <w:rsid w:val="007405F6"/>
    <w:rsid w:val="00740FDE"/>
    <w:rsid w:val="00746B11"/>
    <w:rsid w:val="00746F2C"/>
    <w:rsid w:val="007472C3"/>
    <w:rsid w:val="0075097C"/>
    <w:rsid w:val="00752131"/>
    <w:rsid w:val="00760524"/>
    <w:rsid w:val="00760B40"/>
    <w:rsid w:val="00770AF4"/>
    <w:rsid w:val="00772C52"/>
    <w:rsid w:val="007766BC"/>
    <w:rsid w:val="007771FE"/>
    <w:rsid w:val="007826D3"/>
    <w:rsid w:val="00793315"/>
    <w:rsid w:val="00794D4F"/>
    <w:rsid w:val="007A0311"/>
    <w:rsid w:val="007A375F"/>
    <w:rsid w:val="007A4003"/>
    <w:rsid w:val="007A5F9C"/>
    <w:rsid w:val="007B477D"/>
    <w:rsid w:val="007B5868"/>
    <w:rsid w:val="007C01FC"/>
    <w:rsid w:val="007C07CE"/>
    <w:rsid w:val="007C2592"/>
    <w:rsid w:val="007C276C"/>
    <w:rsid w:val="007D4551"/>
    <w:rsid w:val="007D662E"/>
    <w:rsid w:val="007E1918"/>
    <w:rsid w:val="007E2B35"/>
    <w:rsid w:val="007E30CA"/>
    <w:rsid w:val="007E390D"/>
    <w:rsid w:val="007E461E"/>
    <w:rsid w:val="007E4620"/>
    <w:rsid w:val="007E4E6E"/>
    <w:rsid w:val="007E4FEC"/>
    <w:rsid w:val="007E5CEF"/>
    <w:rsid w:val="007F010C"/>
    <w:rsid w:val="007F1473"/>
    <w:rsid w:val="007F365E"/>
    <w:rsid w:val="007F45A7"/>
    <w:rsid w:val="00800A2F"/>
    <w:rsid w:val="00804C8F"/>
    <w:rsid w:val="00805DC0"/>
    <w:rsid w:val="00806ACE"/>
    <w:rsid w:val="00807638"/>
    <w:rsid w:val="00811CD4"/>
    <w:rsid w:val="008222C0"/>
    <w:rsid w:val="00825C43"/>
    <w:rsid w:val="0083145E"/>
    <w:rsid w:val="008351B0"/>
    <w:rsid w:val="00837182"/>
    <w:rsid w:val="0084023E"/>
    <w:rsid w:val="008444C4"/>
    <w:rsid w:val="0084469D"/>
    <w:rsid w:val="00844B2D"/>
    <w:rsid w:val="00852FC1"/>
    <w:rsid w:val="008547F2"/>
    <w:rsid w:val="008604B2"/>
    <w:rsid w:val="00861495"/>
    <w:rsid w:val="00861DFE"/>
    <w:rsid w:val="00862825"/>
    <w:rsid w:val="00863DAB"/>
    <w:rsid w:val="00867F1A"/>
    <w:rsid w:val="00874F6F"/>
    <w:rsid w:val="00875062"/>
    <w:rsid w:val="008754D1"/>
    <w:rsid w:val="00876774"/>
    <w:rsid w:val="0087687F"/>
    <w:rsid w:val="008825BB"/>
    <w:rsid w:val="00885F48"/>
    <w:rsid w:val="00886238"/>
    <w:rsid w:val="00892211"/>
    <w:rsid w:val="00892541"/>
    <w:rsid w:val="008938F7"/>
    <w:rsid w:val="008956EA"/>
    <w:rsid w:val="008972AF"/>
    <w:rsid w:val="008A053C"/>
    <w:rsid w:val="008A523D"/>
    <w:rsid w:val="008A6BB2"/>
    <w:rsid w:val="008B0338"/>
    <w:rsid w:val="008B3137"/>
    <w:rsid w:val="008B568D"/>
    <w:rsid w:val="008B5FE3"/>
    <w:rsid w:val="008C2C1A"/>
    <w:rsid w:val="008C675D"/>
    <w:rsid w:val="008D3142"/>
    <w:rsid w:val="008D5725"/>
    <w:rsid w:val="008D7F66"/>
    <w:rsid w:val="008F0C27"/>
    <w:rsid w:val="008F4AA1"/>
    <w:rsid w:val="00901BEF"/>
    <w:rsid w:val="009026ED"/>
    <w:rsid w:val="009055B3"/>
    <w:rsid w:val="00905B0F"/>
    <w:rsid w:val="00906749"/>
    <w:rsid w:val="00907693"/>
    <w:rsid w:val="00912BA6"/>
    <w:rsid w:val="00914263"/>
    <w:rsid w:val="00920037"/>
    <w:rsid w:val="009202D3"/>
    <w:rsid w:val="00922786"/>
    <w:rsid w:val="009229E0"/>
    <w:rsid w:val="0093242F"/>
    <w:rsid w:val="00933C53"/>
    <w:rsid w:val="00940A34"/>
    <w:rsid w:val="009411EA"/>
    <w:rsid w:val="0094272F"/>
    <w:rsid w:val="009532C3"/>
    <w:rsid w:val="00961AC0"/>
    <w:rsid w:val="00963D1F"/>
    <w:rsid w:val="00965D02"/>
    <w:rsid w:val="009674A5"/>
    <w:rsid w:val="0096788C"/>
    <w:rsid w:val="0097618B"/>
    <w:rsid w:val="009774F9"/>
    <w:rsid w:val="009830C2"/>
    <w:rsid w:val="00985B32"/>
    <w:rsid w:val="0099219B"/>
    <w:rsid w:val="00993997"/>
    <w:rsid w:val="009968F2"/>
    <w:rsid w:val="009A393E"/>
    <w:rsid w:val="009A73DE"/>
    <w:rsid w:val="009B0ADE"/>
    <w:rsid w:val="009B0E42"/>
    <w:rsid w:val="009B12C5"/>
    <w:rsid w:val="009D3443"/>
    <w:rsid w:val="009D3DBD"/>
    <w:rsid w:val="009E66C3"/>
    <w:rsid w:val="009E79BE"/>
    <w:rsid w:val="009F0F2B"/>
    <w:rsid w:val="009F33C9"/>
    <w:rsid w:val="009F4A96"/>
    <w:rsid w:val="009F7600"/>
    <w:rsid w:val="00A03365"/>
    <w:rsid w:val="00A06B3F"/>
    <w:rsid w:val="00A07879"/>
    <w:rsid w:val="00A1474E"/>
    <w:rsid w:val="00A1618E"/>
    <w:rsid w:val="00A23E01"/>
    <w:rsid w:val="00A24135"/>
    <w:rsid w:val="00A25C8D"/>
    <w:rsid w:val="00A263B6"/>
    <w:rsid w:val="00A354A8"/>
    <w:rsid w:val="00A41A02"/>
    <w:rsid w:val="00A43146"/>
    <w:rsid w:val="00A50D6A"/>
    <w:rsid w:val="00A54E86"/>
    <w:rsid w:val="00A60798"/>
    <w:rsid w:val="00A60BC7"/>
    <w:rsid w:val="00A62552"/>
    <w:rsid w:val="00A65C80"/>
    <w:rsid w:val="00A7060B"/>
    <w:rsid w:val="00A70FA1"/>
    <w:rsid w:val="00A72944"/>
    <w:rsid w:val="00A86D44"/>
    <w:rsid w:val="00A927B8"/>
    <w:rsid w:val="00A92C42"/>
    <w:rsid w:val="00A938FD"/>
    <w:rsid w:val="00A96B49"/>
    <w:rsid w:val="00A96D72"/>
    <w:rsid w:val="00AA0195"/>
    <w:rsid w:val="00AA157D"/>
    <w:rsid w:val="00AA24D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C710C"/>
    <w:rsid w:val="00AD2CB1"/>
    <w:rsid w:val="00AD2FDB"/>
    <w:rsid w:val="00AE2D5B"/>
    <w:rsid w:val="00AE628D"/>
    <w:rsid w:val="00AE6B19"/>
    <w:rsid w:val="00AF43EC"/>
    <w:rsid w:val="00AF4B41"/>
    <w:rsid w:val="00AF5241"/>
    <w:rsid w:val="00AF69D8"/>
    <w:rsid w:val="00B029A1"/>
    <w:rsid w:val="00B05653"/>
    <w:rsid w:val="00B13906"/>
    <w:rsid w:val="00B13A25"/>
    <w:rsid w:val="00B15262"/>
    <w:rsid w:val="00B16870"/>
    <w:rsid w:val="00B173DC"/>
    <w:rsid w:val="00B2275A"/>
    <w:rsid w:val="00B23CAE"/>
    <w:rsid w:val="00B25A24"/>
    <w:rsid w:val="00B26C33"/>
    <w:rsid w:val="00B34C80"/>
    <w:rsid w:val="00B4106D"/>
    <w:rsid w:val="00B44C4A"/>
    <w:rsid w:val="00B47524"/>
    <w:rsid w:val="00B477BF"/>
    <w:rsid w:val="00B55602"/>
    <w:rsid w:val="00B61E7F"/>
    <w:rsid w:val="00B66E4C"/>
    <w:rsid w:val="00B74BEC"/>
    <w:rsid w:val="00B8798B"/>
    <w:rsid w:val="00B87FDA"/>
    <w:rsid w:val="00B90661"/>
    <w:rsid w:val="00B91190"/>
    <w:rsid w:val="00B91578"/>
    <w:rsid w:val="00B91EF6"/>
    <w:rsid w:val="00B9324F"/>
    <w:rsid w:val="00B94F2F"/>
    <w:rsid w:val="00B96C28"/>
    <w:rsid w:val="00BA11F0"/>
    <w:rsid w:val="00BA3A93"/>
    <w:rsid w:val="00BA6B35"/>
    <w:rsid w:val="00BC3E37"/>
    <w:rsid w:val="00BC697F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BF5270"/>
    <w:rsid w:val="00BF7B23"/>
    <w:rsid w:val="00C020A0"/>
    <w:rsid w:val="00C0491E"/>
    <w:rsid w:val="00C07D1F"/>
    <w:rsid w:val="00C12F2A"/>
    <w:rsid w:val="00C164DB"/>
    <w:rsid w:val="00C2525F"/>
    <w:rsid w:val="00C27873"/>
    <w:rsid w:val="00C30331"/>
    <w:rsid w:val="00C332FE"/>
    <w:rsid w:val="00C35013"/>
    <w:rsid w:val="00C458E6"/>
    <w:rsid w:val="00C506A2"/>
    <w:rsid w:val="00C700C6"/>
    <w:rsid w:val="00C74183"/>
    <w:rsid w:val="00C74CDA"/>
    <w:rsid w:val="00C778D1"/>
    <w:rsid w:val="00C77C38"/>
    <w:rsid w:val="00C803AB"/>
    <w:rsid w:val="00C8197C"/>
    <w:rsid w:val="00C82530"/>
    <w:rsid w:val="00C863E3"/>
    <w:rsid w:val="00CA1AEE"/>
    <w:rsid w:val="00CA242D"/>
    <w:rsid w:val="00CA2718"/>
    <w:rsid w:val="00CA67D0"/>
    <w:rsid w:val="00CA69A3"/>
    <w:rsid w:val="00CB0579"/>
    <w:rsid w:val="00CB2BFD"/>
    <w:rsid w:val="00CB2C56"/>
    <w:rsid w:val="00CB583B"/>
    <w:rsid w:val="00CB68BA"/>
    <w:rsid w:val="00CB6BDD"/>
    <w:rsid w:val="00CC2809"/>
    <w:rsid w:val="00CC767B"/>
    <w:rsid w:val="00CD68CE"/>
    <w:rsid w:val="00CE6415"/>
    <w:rsid w:val="00CE6A09"/>
    <w:rsid w:val="00CE7759"/>
    <w:rsid w:val="00CF1986"/>
    <w:rsid w:val="00CF67F3"/>
    <w:rsid w:val="00D021A1"/>
    <w:rsid w:val="00D116B8"/>
    <w:rsid w:val="00D17C4F"/>
    <w:rsid w:val="00D23821"/>
    <w:rsid w:val="00D263A2"/>
    <w:rsid w:val="00D265F9"/>
    <w:rsid w:val="00D31166"/>
    <w:rsid w:val="00D34645"/>
    <w:rsid w:val="00D361A4"/>
    <w:rsid w:val="00D400F5"/>
    <w:rsid w:val="00D43726"/>
    <w:rsid w:val="00D45D02"/>
    <w:rsid w:val="00D51089"/>
    <w:rsid w:val="00D574A4"/>
    <w:rsid w:val="00D63698"/>
    <w:rsid w:val="00D6609A"/>
    <w:rsid w:val="00D71A0A"/>
    <w:rsid w:val="00D7760C"/>
    <w:rsid w:val="00D90827"/>
    <w:rsid w:val="00D94444"/>
    <w:rsid w:val="00D94D33"/>
    <w:rsid w:val="00D9603B"/>
    <w:rsid w:val="00DA1C8B"/>
    <w:rsid w:val="00DA3240"/>
    <w:rsid w:val="00DA37B7"/>
    <w:rsid w:val="00DA468F"/>
    <w:rsid w:val="00DA5C40"/>
    <w:rsid w:val="00DB1F37"/>
    <w:rsid w:val="00DB60E4"/>
    <w:rsid w:val="00DB6765"/>
    <w:rsid w:val="00DB6AE1"/>
    <w:rsid w:val="00DC6273"/>
    <w:rsid w:val="00DC6485"/>
    <w:rsid w:val="00DC7EE1"/>
    <w:rsid w:val="00DD0E75"/>
    <w:rsid w:val="00DD2076"/>
    <w:rsid w:val="00DE1053"/>
    <w:rsid w:val="00DE1B6A"/>
    <w:rsid w:val="00DE24EE"/>
    <w:rsid w:val="00DE303B"/>
    <w:rsid w:val="00DE4054"/>
    <w:rsid w:val="00DF0566"/>
    <w:rsid w:val="00E0318D"/>
    <w:rsid w:val="00E0419C"/>
    <w:rsid w:val="00E04F02"/>
    <w:rsid w:val="00E1281A"/>
    <w:rsid w:val="00E15A96"/>
    <w:rsid w:val="00E21488"/>
    <w:rsid w:val="00E263B2"/>
    <w:rsid w:val="00E31562"/>
    <w:rsid w:val="00E31801"/>
    <w:rsid w:val="00E329A5"/>
    <w:rsid w:val="00E33916"/>
    <w:rsid w:val="00E37C08"/>
    <w:rsid w:val="00E52436"/>
    <w:rsid w:val="00E54592"/>
    <w:rsid w:val="00E55263"/>
    <w:rsid w:val="00E55495"/>
    <w:rsid w:val="00E57A03"/>
    <w:rsid w:val="00E612E3"/>
    <w:rsid w:val="00E70091"/>
    <w:rsid w:val="00E70AA9"/>
    <w:rsid w:val="00E72110"/>
    <w:rsid w:val="00E724E8"/>
    <w:rsid w:val="00E77968"/>
    <w:rsid w:val="00E84C22"/>
    <w:rsid w:val="00E85219"/>
    <w:rsid w:val="00E92110"/>
    <w:rsid w:val="00E93545"/>
    <w:rsid w:val="00E93CB2"/>
    <w:rsid w:val="00E955C1"/>
    <w:rsid w:val="00E96A80"/>
    <w:rsid w:val="00EA0FA8"/>
    <w:rsid w:val="00EA3CEA"/>
    <w:rsid w:val="00EB000A"/>
    <w:rsid w:val="00EB1BBB"/>
    <w:rsid w:val="00EB67E8"/>
    <w:rsid w:val="00EB7298"/>
    <w:rsid w:val="00EC1446"/>
    <w:rsid w:val="00EC2E2E"/>
    <w:rsid w:val="00ED0C3B"/>
    <w:rsid w:val="00ED0F60"/>
    <w:rsid w:val="00ED6011"/>
    <w:rsid w:val="00ED6F8F"/>
    <w:rsid w:val="00EE00DB"/>
    <w:rsid w:val="00EE2247"/>
    <w:rsid w:val="00EE2CEA"/>
    <w:rsid w:val="00EE64B7"/>
    <w:rsid w:val="00EF2826"/>
    <w:rsid w:val="00EF3E7B"/>
    <w:rsid w:val="00F045FC"/>
    <w:rsid w:val="00F057A4"/>
    <w:rsid w:val="00F1418D"/>
    <w:rsid w:val="00F22B1C"/>
    <w:rsid w:val="00F23EB1"/>
    <w:rsid w:val="00F2620B"/>
    <w:rsid w:val="00F30A99"/>
    <w:rsid w:val="00F37578"/>
    <w:rsid w:val="00F52BC9"/>
    <w:rsid w:val="00F52C8E"/>
    <w:rsid w:val="00F531D5"/>
    <w:rsid w:val="00F56938"/>
    <w:rsid w:val="00F5792E"/>
    <w:rsid w:val="00F63D12"/>
    <w:rsid w:val="00F67230"/>
    <w:rsid w:val="00F83D13"/>
    <w:rsid w:val="00F870B9"/>
    <w:rsid w:val="00F9073B"/>
    <w:rsid w:val="00F93820"/>
    <w:rsid w:val="00F9429A"/>
    <w:rsid w:val="00F969A2"/>
    <w:rsid w:val="00FA312A"/>
    <w:rsid w:val="00FA450D"/>
    <w:rsid w:val="00FA4518"/>
    <w:rsid w:val="00FA6D09"/>
    <w:rsid w:val="00FB2064"/>
    <w:rsid w:val="00FB3005"/>
    <w:rsid w:val="00FB375A"/>
    <w:rsid w:val="00FB4CB8"/>
    <w:rsid w:val="00FB681A"/>
    <w:rsid w:val="00FC168F"/>
    <w:rsid w:val="00FC1CA9"/>
    <w:rsid w:val="00FC25AF"/>
    <w:rsid w:val="00FC2B86"/>
    <w:rsid w:val="00FC33A9"/>
    <w:rsid w:val="00FD3B7A"/>
    <w:rsid w:val="00FD3B80"/>
    <w:rsid w:val="00FD51B1"/>
    <w:rsid w:val="00FD54D1"/>
    <w:rsid w:val="00FE030C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C40AEF-F2C4-4203-84CD-E324422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B9324F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3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4F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B93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4F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F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B9324F"/>
    <w:pPr>
      <w:autoSpaceDE w:val="0"/>
      <w:autoSpaceDN w:val="0"/>
      <w:adjustRightInd w:val="0"/>
      <w:jc w:val="center"/>
    </w:pPr>
    <w:rPr>
      <w:rFonts w:cs="Times New Roman"/>
      <w:caps/>
    </w:rPr>
  </w:style>
  <w:style w:type="paragraph" w:styleId="ListBullet">
    <w:name w:val="List Bullet"/>
    <w:basedOn w:val="Normal"/>
    <w:uiPriority w:val="99"/>
    <w:unhideWhenUsed/>
    <w:rsid w:val="00B9324F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B9324F"/>
    <w:rPr>
      <w:rFonts w:ascii="Times New Roman" w:hAnsi="Times New Roman" w:cs="Times New Roman"/>
      <w:caps/>
      <w:noProof/>
    </w:rPr>
  </w:style>
  <w:style w:type="character" w:customStyle="1" w:styleId="A3">
    <w:name w:val="A3"/>
    <w:uiPriority w:val="99"/>
    <w:rsid w:val="00B9324F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B9324F"/>
  </w:style>
  <w:style w:type="paragraph" w:styleId="ListParagraph">
    <w:name w:val="List Paragraph"/>
    <w:basedOn w:val="Normal"/>
    <w:link w:val="ListParagraphChar"/>
    <w:uiPriority w:val="34"/>
    <w:qFormat/>
    <w:rsid w:val="00B9324F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B9324F"/>
    <w:rPr>
      <w:rFonts w:ascii="Times New Roman" w:hAnsi="Times New Roman" w:cs="Times New Roman"/>
      <w:caps/>
      <w:noProof/>
    </w:rPr>
  </w:style>
  <w:style w:type="paragraph" w:customStyle="1" w:styleId="Head3">
    <w:name w:val="Head 3"/>
    <w:basedOn w:val="ListParagraph"/>
    <w:link w:val="Head3Char"/>
    <w:rsid w:val="00B9324F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324F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B9324F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B9324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B9324F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B9324F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B9324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B9324F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B9324F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B9324F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B9324F"/>
    <w:rPr>
      <w:sz w:val="28"/>
    </w:rPr>
  </w:style>
  <w:style w:type="character" w:customStyle="1" w:styleId="AS-H2bChar">
    <w:name w:val="AS-H2b Char"/>
    <w:basedOn w:val="DefaultParagraphFont"/>
    <w:link w:val="AS-H2b"/>
    <w:rsid w:val="00B9324F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B9324F"/>
    <w:pPr>
      <w:jc w:val="center"/>
    </w:pPr>
    <w:rPr>
      <w:rFonts w:cs="Times New Roman"/>
      <w:smallCaps/>
    </w:rPr>
  </w:style>
  <w:style w:type="character" w:customStyle="1" w:styleId="AS-H3Char">
    <w:name w:val="AS-H3 Char"/>
    <w:basedOn w:val="AS-H3AChar"/>
    <w:link w:val="AS-H3"/>
    <w:rsid w:val="00B9324F"/>
    <w:rPr>
      <w:rFonts w:ascii="Times New Roman" w:hAnsi="Times New Roman" w:cs="Times New Roman"/>
      <w:caps/>
      <w:noProof/>
      <w:sz w:val="28"/>
    </w:rPr>
  </w:style>
  <w:style w:type="paragraph" w:customStyle="1" w:styleId="AS-H3c">
    <w:name w:val="AS-H3c"/>
    <w:basedOn w:val="Head2B"/>
    <w:link w:val="AS-H3cChar"/>
    <w:rsid w:val="00B9324F"/>
    <w:rPr>
      <w:b/>
    </w:rPr>
  </w:style>
  <w:style w:type="character" w:customStyle="1" w:styleId="AS-H3bChar">
    <w:name w:val="AS-H3b Char"/>
    <w:basedOn w:val="AS-H3AChar"/>
    <w:link w:val="AS-H3b"/>
    <w:rsid w:val="00B9324F"/>
    <w:rPr>
      <w:rFonts w:ascii="Times New Roman" w:hAnsi="Times New Roman" w:cs="Times New Roman"/>
      <w:caps w:val="0"/>
      <w:smallCaps/>
      <w:noProof/>
    </w:rPr>
  </w:style>
  <w:style w:type="paragraph" w:customStyle="1" w:styleId="AS-H3d">
    <w:name w:val="AS-H3d"/>
    <w:basedOn w:val="Head2B"/>
    <w:link w:val="AS-H3dChar"/>
    <w:rsid w:val="00B9324F"/>
  </w:style>
  <w:style w:type="character" w:customStyle="1" w:styleId="AS-H3cChar">
    <w:name w:val="AS-H3c Char"/>
    <w:basedOn w:val="Head2BChar"/>
    <w:link w:val="AS-H3c"/>
    <w:rsid w:val="00B9324F"/>
    <w:rPr>
      <w:rFonts w:ascii="Times New Roman" w:hAnsi="Times New Roman" w:cs="Times New Roman"/>
      <w:b/>
      <w:caps/>
      <w:noProof/>
    </w:rPr>
  </w:style>
  <w:style w:type="paragraph" w:customStyle="1" w:styleId="AS-P0">
    <w:name w:val="AS-P(0)"/>
    <w:basedOn w:val="Normal"/>
    <w:link w:val="AS-P0Char"/>
    <w:qFormat/>
    <w:rsid w:val="00B9324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B9324F"/>
    <w:rPr>
      <w:rFonts w:ascii="Times New Roman" w:hAnsi="Times New Roman" w:cs="Times New Roman"/>
      <w:caps/>
      <w:noProof/>
    </w:rPr>
  </w:style>
  <w:style w:type="paragraph" w:customStyle="1" w:styleId="AS-P1">
    <w:name w:val="AS-P(1)"/>
    <w:basedOn w:val="Normal"/>
    <w:link w:val="AS-P1Char"/>
    <w:qFormat/>
    <w:rsid w:val="00B9324F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B9324F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B9324F"/>
  </w:style>
  <w:style w:type="character" w:customStyle="1" w:styleId="AS-P1Char">
    <w:name w:val="AS-P(1) Char"/>
    <w:basedOn w:val="DefaultParagraphFont"/>
    <w:link w:val="AS-P1"/>
    <w:rsid w:val="00B9324F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B9324F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B9324F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B9324F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B9324F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B9324F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B9324F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B9324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B9324F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B9324F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4F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4F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B9324F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B9324F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B9324F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B9324F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B9324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B9324F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B9324F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B9324F"/>
    <w:rPr>
      <w:rFonts w:ascii="Arial" w:hAnsi="Arial" w:cs="Arial"/>
      <w:b/>
      <w:noProof/>
      <w:color w:val="000000"/>
      <w:sz w:val="24"/>
      <w:szCs w:val="24"/>
      <w:lang w:val="en-ZA"/>
    </w:rPr>
  </w:style>
  <w:style w:type="paragraph" w:customStyle="1" w:styleId="ASHeader">
    <w:name w:val="AS Header"/>
    <w:basedOn w:val="Header"/>
    <w:link w:val="ASHeaderChar"/>
    <w:rsid w:val="00B9324F"/>
    <w:pPr>
      <w:tabs>
        <w:tab w:val="clear" w:pos="4513"/>
        <w:tab w:val="clear" w:pos="9026"/>
        <w:tab w:val="left" w:pos="567"/>
        <w:tab w:val="left" w:pos="2268"/>
      </w:tabs>
      <w:jc w:val="center"/>
    </w:pPr>
    <w:rPr>
      <w:rFonts w:ascii="Arial" w:hAnsi="Arial" w:cs="Arial"/>
      <w:b/>
      <w:sz w:val="16"/>
      <w:szCs w:val="16"/>
    </w:rPr>
  </w:style>
  <w:style w:type="character" w:customStyle="1" w:styleId="ASHeaderChar">
    <w:name w:val="AS Header Char"/>
    <w:basedOn w:val="HeaderChar"/>
    <w:link w:val="ASHeader"/>
    <w:rsid w:val="00B9324F"/>
    <w:rPr>
      <w:rFonts w:ascii="Arial" w:hAnsi="Arial" w:cs="Arial"/>
      <w:b/>
      <w:noProof/>
      <w:sz w:val="16"/>
      <w:szCs w:val="16"/>
    </w:rPr>
  </w:style>
  <w:style w:type="paragraph" w:customStyle="1" w:styleId="Default">
    <w:name w:val="Default"/>
    <w:rsid w:val="0041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37C08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B16870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styleId="Hyperlink">
    <w:name w:val="Hyperlink"/>
    <w:uiPriority w:val="99"/>
    <w:rsid w:val="00430D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RS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B088-E6C1-46C1-9289-D04E7BD7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(RSA).dotx</Template>
  <TotalTime>17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Suretyship Amendment Act 57 of 1971 (RSA)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Suretyship Amendment Act 57 of 1971 (RSA)</dc:title>
  <dc:creator>LAC</dc:creator>
  <cp:lastModifiedBy>Dianne Hubbard</cp:lastModifiedBy>
  <cp:revision>18</cp:revision>
  <dcterms:created xsi:type="dcterms:W3CDTF">2014-12-04T19:00:00Z</dcterms:created>
  <dcterms:modified xsi:type="dcterms:W3CDTF">2020-11-10T07:49:00Z</dcterms:modified>
</cp:coreProperties>
</file>