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E5CEF" w:rsidRPr="002E3094" w:rsidRDefault="0049507E" w:rsidP="00D51089">
      <w:pPr>
        <w:pStyle w:val="AS-H1a"/>
      </w:pPr>
      <w:bookmarkStart w:id="0" w:name="_GoBack"/>
      <w:bookmarkEnd w:id="0"/>
      <w:r>
        <w:rPr>
          <w:lang w:val="en-ZA" w:eastAsia="en-ZA"/>
        </w:rPr>
        <w:drawing>
          <wp:anchor distT="0" distB="0" distL="114300" distR="114300" simplePos="0" relativeHeight="251661312" behindDoc="0" locked="1" layoutInCell="0" allowOverlap="0">
            <wp:simplePos x="171450" y="895350"/>
            <wp:positionH relativeFrom="margin">
              <wp:align>center</wp:align>
            </wp:positionH>
            <wp:positionV relativeFrom="page">
              <wp:align>top</wp:align>
            </wp:positionV>
            <wp:extent cx="7560000" cy="2995200"/>
            <wp:effectExtent l="0" t="0" r="3175" b="0"/>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N Annotated Statute - Template - Header Block.JPG"/>
                    <pic:cNvPicPr/>
                  </pic:nvPicPr>
                  <pic:blipFill>
                    <a:blip r:embed="rId8">
                      <a:extLst>
                        <a:ext uri="{28A0092B-C50C-407E-A947-70E740481C1C}">
                          <a14:useLocalDpi xmlns:a14="http://schemas.microsoft.com/office/drawing/2010/main" val="0"/>
                        </a:ext>
                      </a:extLst>
                    </a:blip>
                    <a:stretch>
                      <a:fillRect/>
                    </a:stretch>
                  </pic:blipFill>
                  <pic:spPr>
                    <a:xfrm>
                      <a:off x="0" y="0"/>
                      <a:ext cx="7560000" cy="2995200"/>
                    </a:xfrm>
                    <a:prstGeom prst="rect">
                      <a:avLst/>
                    </a:prstGeom>
                  </pic:spPr>
                </pic:pic>
              </a:graphicData>
            </a:graphic>
            <wp14:sizeRelH relativeFrom="margin">
              <wp14:pctWidth>0</wp14:pctWidth>
            </wp14:sizeRelH>
            <wp14:sizeRelV relativeFrom="margin">
              <wp14:pctHeight>0</wp14:pctHeight>
            </wp14:sizeRelV>
          </wp:anchor>
        </w:drawing>
      </w:r>
    </w:p>
    <w:p w:rsidR="008938F7" w:rsidRPr="0088348A" w:rsidRDefault="00384EC1" w:rsidP="008938F7">
      <w:pPr>
        <w:pStyle w:val="AS-H1a"/>
        <w:rPr>
          <w:position w:val="4"/>
          <w:sz w:val="20"/>
          <w:szCs w:val="20"/>
        </w:rPr>
      </w:pPr>
      <w:r w:rsidRPr="00384EC1">
        <w:t>Recognition and Enforcement of Foreign Arbitral Awards Act 40 of 1977</w:t>
      </w:r>
      <w:r w:rsidR="009532C3">
        <w:t xml:space="preserve"> (</w:t>
      </w:r>
      <w:r w:rsidR="001A3F00">
        <w:t>R</w:t>
      </w:r>
      <w:r w:rsidR="009532C3">
        <w:t>SA)</w:t>
      </w:r>
    </w:p>
    <w:p w:rsidR="008938F7" w:rsidRPr="00AC2903" w:rsidRDefault="008938F7" w:rsidP="005B23AF">
      <w:pPr>
        <w:pStyle w:val="AS-P-Amend"/>
      </w:pPr>
      <w:r w:rsidRPr="00AC2903">
        <w:t>(</w:t>
      </w:r>
      <w:hyperlink r:id="rId9" w:history="1">
        <w:r w:rsidR="00ED270B" w:rsidRPr="0063721F">
          <w:rPr>
            <w:rStyle w:val="Hyperlink"/>
            <w:lang w:val="en-ZA"/>
          </w:rPr>
          <w:t>RSA GG 5504</w:t>
        </w:r>
      </w:hyperlink>
      <w:r w:rsidRPr="00AC2903">
        <w:t>)</w:t>
      </w:r>
    </w:p>
    <w:p w:rsidR="008938F7" w:rsidRDefault="000468C7" w:rsidP="005B23AF">
      <w:pPr>
        <w:pStyle w:val="AS-P-Amend"/>
      </w:pPr>
      <w:r>
        <w:t xml:space="preserve">came into force </w:t>
      </w:r>
      <w:r w:rsidR="008A788F">
        <w:t xml:space="preserve">in South Africa and South West Africa </w:t>
      </w:r>
      <w:r w:rsidR="003F414F">
        <w:br/>
      </w:r>
      <w:r>
        <w:t>on date of publication:</w:t>
      </w:r>
      <w:r w:rsidR="00920037">
        <w:t xml:space="preserve"> </w:t>
      </w:r>
      <w:r w:rsidR="00837182">
        <w:t>13 April 1977</w:t>
      </w:r>
    </w:p>
    <w:p w:rsidR="003F414F" w:rsidRDefault="003F414F" w:rsidP="005B23AF">
      <w:pPr>
        <w:pStyle w:val="AS-P-Amend"/>
      </w:pPr>
      <w:r>
        <w:t xml:space="preserve">(see definition of “court” in section 1) </w:t>
      </w:r>
    </w:p>
    <w:p w:rsidR="00E837B9" w:rsidRDefault="00E837B9" w:rsidP="008A788F">
      <w:pPr>
        <w:pStyle w:val="AS-P-Amend"/>
        <w:rPr>
          <w:lang w:eastAsia="en-ZA"/>
        </w:rPr>
      </w:pPr>
    </w:p>
    <w:p w:rsidR="00092619" w:rsidRDefault="00320BC8" w:rsidP="00320BC8">
      <w:pPr>
        <w:pStyle w:val="AS-P-Amend"/>
        <w:jc w:val="both"/>
        <w:rPr>
          <w:color w:val="0070C0"/>
          <w:lang w:eastAsia="en-ZA"/>
        </w:rPr>
      </w:pPr>
      <w:r w:rsidRPr="00320BC8">
        <w:rPr>
          <w:color w:val="0070C0"/>
          <w:lang w:eastAsia="en-ZA"/>
        </w:rPr>
        <w:t xml:space="preserve">APPLICABILITY TO SOUTH WEST AFRICA:  </w:t>
      </w:r>
      <w:r w:rsidR="008A788F" w:rsidRPr="00320BC8">
        <w:rPr>
          <w:color w:val="0070C0"/>
          <w:lang w:eastAsia="en-ZA"/>
        </w:rPr>
        <w:t>Although the Act does not contain a specific provision ma</w:t>
      </w:r>
      <w:r w:rsidR="002D405E">
        <w:rPr>
          <w:color w:val="0070C0"/>
          <w:lang w:eastAsia="en-ZA"/>
        </w:rPr>
        <w:t xml:space="preserve">king </w:t>
      </w:r>
      <w:r w:rsidR="008A788F" w:rsidRPr="00320BC8">
        <w:rPr>
          <w:color w:val="0070C0"/>
          <w:lang w:eastAsia="en-ZA"/>
        </w:rPr>
        <w:t xml:space="preserve">it applicable to </w:t>
      </w:r>
      <w:r w:rsidR="003B0F94">
        <w:rPr>
          <w:color w:val="0070C0"/>
          <w:lang w:eastAsia="en-ZA"/>
        </w:rPr>
        <w:t>South West Africa</w:t>
      </w:r>
      <w:r w:rsidR="008A788F" w:rsidRPr="00320BC8">
        <w:rPr>
          <w:color w:val="0070C0"/>
          <w:lang w:eastAsia="en-ZA"/>
        </w:rPr>
        <w:t xml:space="preserve">, </w:t>
      </w:r>
      <w:r w:rsidR="002D405E">
        <w:rPr>
          <w:color w:val="0070C0"/>
          <w:lang w:eastAsia="en-ZA"/>
        </w:rPr>
        <w:t>“</w:t>
      </w:r>
      <w:r w:rsidR="008A788F" w:rsidRPr="006A0A6F">
        <w:rPr>
          <w:b w:val="0"/>
          <w:color w:val="0070C0"/>
          <w:lang w:eastAsia="en-ZA"/>
        </w:rPr>
        <w:t>court</w:t>
      </w:r>
      <w:r w:rsidR="002D405E">
        <w:rPr>
          <w:b w:val="0"/>
          <w:color w:val="0070C0"/>
          <w:lang w:eastAsia="en-ZA"/>
        </w:rPr>
        <w:t>”</w:t>
      </w:r>
      <w:r w:rsidR="008A788F" w:rsidRPr="00320BC8">
        <w:rPr>
          <w:color w:val="0070C0"/>
          <w:lang w:eastAsia="en-ZA"/>
        </w:rPr>
        <w:t xml:space="preserve"> </w:t>
      </w:r>
      <w:r w:rsidR="004C3DFE" w:rsidRPr="00320BC8">
        <w:rPr>
          <w:color w:val="0070C0"/>
          <w:lang w:eastAsia="en-ZA"/>
        </w:rPr>
        <w:t>i</w:t>
      </w:r>
      <w:r w:rsidR="008A788F" w:rsidRPr="00320BC8">
        <w:rPr>
          <w:color w:val="0070C0"/>
          <w:lang w:eastAsia="en-ZA"/>
        </w:rPr>
        <w:t xml:space="preserve">s defined in section 1 of the Act as </w:t>
      </w:r>
      <w:r w:rsidR="007556BC" w:rsidRPr="00320BC8">
        <w:rPr>
          <w:color w:val="0070C0"/>
          <w:lang w:eastAsia="en-ZA"/>
        </w:rPr>
        <w:t>“</w:t>
      </w:r>
      <w:r w:rsidR="008A788F" w:rsidRPr="00320BC8">
        <w:rPr>
          <w:b w:val="0"/>
          <w:i/>
          <w:color w:val="0070C0"/>
          <w:lang w:eastAsia="en-ZA"/>
        </w:rPr>
        <w:t>....</w:t>
      </w:r>
      <w:r w:rsidR="008A788F" w:rsidRPr="00320BC8">
        <w:rPr>
          <w:rStyle w:val="Emphasis"/>
          <w:b w:val="0"/>
          <w:i w:val="0"/>
          <w:color w:val="0070C0"/>
          <w:szCs w:val="22"/>
          <w:lang w:eastAsia="en-ZA"/>
        </w:rPr>
        <w:t>a court of a provincial division or local division of the Supreme Court of South Africa</w:t>
      </w:r>
      <w:r w:rsidR="007556BC" w:rsidRPr="00320BC8">
        <w:rPr>
          <w:rStyle w:val="Emphasis"/>
          <w:b w:val="0"/>
          <w:i w:val="0"/>
          <w:color w:val="0070C0"/>
          <w:szCs w:val="22"/>
          <w:lang w:eastAsia="en-ZA"/>
        </w:rPr>
        <w:t>”</w:t>
      </w:r>
      <w:r w:rsidR="008A788F" w:rsidRPr="00320BC8">
        <w:rPr>
          <w:rStyle w:val="Emphasis"/>
          <w:i w:val="0"/>
          <w:color w:val="0070C0"/>
          <w:szCs w:val="22"/>
          <w:lang w:eastAsia="en-ZA"/>
        </w:rPr>
        <w:t xml:space="preserve">.  </w:t>
      </w:r>
      <w:r w:rsidR="008A788F" w:rsidRPr="00320BC8">
        <w:rPr>
          <w:color w:val="0070C0"/>
          <w:lang w:eastAsia="en-ZA"/>
        </w:rPr>
        <w:t>A</w:t>
      </w:r>
      <w:r w:rsidR="004C3DFE" w:rsidRPr="00320BC8">
        <w:rPr>
          <w:color w:val="0070C0"/>
          <w:lang w:eastAsia="en-ZA"/>
        </w:rPr>
        <w:t>s of 1977</w:t>
      </w:r>
      <w:r w:rsidR="008A788F" w:rsidRPr="00320BC8">
        <w:rPr>
          <w:color w:val="0070C0"/>
          <w:lang w:eastAsia="en-ZA"/>
        </w:rPr>
        <w:t>, the South African</w:t>
      </w:r>
      <w:r w:rsidR="007556BC" w:rsidRPr="00320BC8">
        <w:rPr>
          <w:color w:val="0070C0"/>
          <w:lang w:eastAsia="en-ZA"/>
        </w:rPr>
        <w:t xml:space="preserve"> </w:t>
      </w:r>
      <w:r w:rsidR="008A788F" w:rsidRPr="00320BC8">
        <w:rPr>
          <w:color w:val="0070C0"/>
          <w:lang w:eastAsia="en-ZA"/>
        </w:rPr>
        <w:t>Supreme Court Act 59 of 1959 defined</w:t>
      </w:r>
      <w:r w:rsidR="008A788F" w:rsidRPr="00320BC8">
        <w:rPr>
          <w:i/>
          <w:color w:val="0070C0"/>
          <w:lang w:eastAsia="en-ZA"/>
        </w:rPr>
        <w:t xml:space="preserve"> </w:t>
      </w:r>
      <w:r w:rsidR="002D405E">
        <w:rPr>
          <w:rStyle w:val="Emphasis"/>
          <w:i w:val="0"/>
          <w:color w:val="0070C0"/>
          <w:szCs w:val="22"/>
          <w:lang w:eastAsia="en-ZA"/>
        </w:rPr>
        <w:t>“</w:t>
      </w:r>
      <w:r w:rsidR="008A788F" w:rsidRPr="00320BC8">
        <w:rPr>
          <w:rStyle w:val="Emphasis"/>
          <w:b w:val="0"/>
          <w:i w:val="0"/>
          <w:color w:val="0070C0"/>
          <w:szCs w:val="22"/>
          <w:lang w:eastAsia="en-ZA"/>
        </w:rPr>
        <w:t>provincial division</w:t>
      </w:r>
      <w:r w:rsidR="002D405E">
        <w:rPr>
          <w:rStyle w:val="Emphasis"/>
          <w:b w:val="0"/>
          <w:i w:val="0"/>
          <w:color w:val="0070C0"/>
          <w:szCs w:val="22"/>
          <w:lang w:eastAsia="en-ZA"/>
        </w:rPr>
        <w:t>”</w:t>
      </w:r>
      <w:r w:rsidR="008A788F" w:rsidRPr="00320BC8">
        <w:rPr>
          <w:rStyle w:val="Emphasis"/>
          <w:i w:val="0"/>
          <w:color w:val="0070C0"/>
          <w:szCs w:val="22"/>
          <w:lang w:eastAsia="en-ZA"/>
        </w:rPr>
        <w:t xml:space="preserve"> to include </w:t>
      </w:r>
      <w:r w:rsidR="002D405E">
        <w:rPr>
          <w:rStyle w:val="Emphasis"/>
          <w:i w:val="0"/>
          <w:color w:val="0070C0"/>
          <w:szCs w:val="22"/>
          <w:lang w:eastAsia="en-ZA"/>
        </w:rPr>
        <w:t>“</w:t>
      </w:r>
      <w:r w:rsidR="008A788F" w:rsidRPr="00320BC8">
        <w:rPr>
          <w:rStyle w:val="Emphasis"/>
          <w:b w:val="0"/>
          <w:i w:val="0"/>
          <w:color w:val="0070C0"/>
          <w:szCs w:val="22"/>
          <w:lang w:eastAsia="en-ZA"/>
        </w:rPr>
        <w:t>the Eastern Cape division and the South</w:t>
      </w:r>
      <w:r w:rsidR="004C3DFE" w:rsidRPr="00320BC8">
        <w:rPr>
          <w:rStyle w:val="Emphasis"/>
          <w:b w:val="0"/>
          <w:i w:val="0"/>
          <w:color w:val="0070C0"/>
          <w:szCs w:val="22"/>
          <w:lang w:eastAsia="en-ZA"/>
        </w:rPr>
        <w:t xml:space="preserve"> W</w:t>
      </w:r>
      <w:r w:rsidR="008A788F" w:rsidRPr="00320BC8">
        <w:rPr>
          <w:rStyle w:val="Emphasis"/>
          <w:b w:val="0"/>
          <w:i w:val="0"/>
          <w:color w:val="0070C0"/>
          <w:szCs w:val="22"/>
          <w:lang w:eastAsia="en-ZA"/>
        </w:rPr>
        <w:t>est Africa division</w:t>
      </w:r>
      <w:r w:rsidR="002D405E">
        <w:rPr>
          <w:rStyle w:val="Emphasis"/>
          <w:b w:val="0"/>
          <w:i w:val="0"/>
          <w:color w:val="0070C0"/>
          <w:szCs w:val="22"/>
          <w:lang w:eastAsia="en-ZA"/>
        </w:rPr>
        <w:t>”</w:t>
      </w:r>
      <w:r w:rsidR="008A788F" w:rsidRPr="00320BC8">
        <w:rPr>
          <w:rStyle w:val="Emphasis"/>
          <w:i w:val="0"/>
          <w:color w:val="0070C0"/>
          <w:szCs w:val="22"/>
          <w:lang w:eastAsia="en-ZA"/>
        </w:rPr>
        <w:t>.</w:t>
      </w:r>
      <w:r w:rsidR="008A788F" w:rsidRPr="00320BC8">
        <w:rPr>
          <w:rStyle w:val="Emphasis"/>
          <w:color w:val="0070C0"/>
          <w:szCs w:val="22"/>
          <w:lang w:eastAsia="en-ZA"/>
        </w:rPr>
        <w:t xml:space="preserve"> </w:t>
      </w:r>
      <w:r w:rsidR="008A788F" w:rsidRPr="00320BC8">
        <w:rPr>
          <w:color w:val="0070C0"/>
          <w:lang w:eastAsia="en-ZA"/>
        </w:rPr>
        <w:t xml:space="preserve">Furthermore, the First Schedule to the Supreme Court Act 59 of 1959 contained a description of the various provincial and local divisions of the Supreme Court of South Africa and their areas of jurisdiction which, </w:t>
      </w:r>
      <w:r w:rsidR="004C3DFE" w:rsidRPr="00320BC8">
        <w:rPr>
          <w:color w:val="0070C0"/>
          <w:lang w:eastAsia="en-ZA"/>
        </w:rPr>
        <w:t>in 1977</w:t>
      </w:r>
      <w:r w:rsidR="008A788F" w:rsidRPr="00320BC8">
        <w:rPr>
          <w:color w:val="0070C0"/>
          <w:lang w:eastAsia="en-ZA"/>
        </w:rPr>
        <w:t xml:space="preserve">, included a description of the </w:t>
      </w:r>
      <w:r w:rsidR="002D405E">
        <w:rPr>
          <w:color w:val="0070C0"/>
          <w:lang w:eastAsia="en-ZA"/>
        </w:rPr>
        <w:t>“</w:t>
      </w:r>
      <w:r w:rsidR="008A788F" w:rsidRPr="00320BC8">
        <w:rPr>
          <w:rStyle w:val="Emphasis"/>
          <w:b w:val="0"/>
          <w:i w:val="0"/>
          <w:color w:val="0070C0"/>
          <w:szCs w:val="22"/>
          <w:lang w:eastAsia="en-ZA"/>
        </w:rPr>
        <w:t>South-West Africa Division of the Supreme Court of South Africa</w:t>
      </w:r>
      <w:r w:rsidR="002D405E">
        <w:rPr>
          <w:rStyle w:val="Emphasis"/>
          <w:b w:val="0"/>
          <w:i w:val="0"/>
          <w:color w:val="0070C0"/>
          <w:szCs w:val="22"/>
          <w:lang w:eastAsia="en-ZA"/>
        </w:rPr>
        <w:t>”</w:t>
      </w:r>
      <w:r w:rsidR="008A788F" w:rsidRPr="00320BC8">
        <w:rPr>
          <w:i/>
          <w:color w:val="0070C0"/>
          <w:lang w:eastAsia="en-ZA"/>
        </w:rPr>
        <w:t>.</w:t>
      </w:r>
      <w:r w:rsidR="008A788F" w:rsidRPr="00320BC8">
        <w:rPr>
          <w:color w:val="0070C0"/>
          <w:lang w:eastAsia="en-ZA"/>
        </w:rPr>
        <w:t xml:space="preserve"> </w:t>
      </w:r>
    </w:p>
    <w:p w:rsidR="008A788F" w:rsidRDefault="008A788F" w:rsidP="008A788F">
      <w:pPr>
        <w:pStyle w:val="AS-P-Amend"/>
        <w:rPr>
          <w:szCs w:val="22"/>
          <w:lang w:eastAsia="en-ZA"/>
        </w:rPr>
      </w:pPr>
    </w:p>
    <w:p w:rsidR="008A788F" w:rsidRPr="00D4098B" w:rsidRDefault="006E5B3F" w:rsidP="006E5B3F">
      <w:pPr>
        <w:pStyle w:val="AS-P-Amend"/>
        <w:jc w:val="both"/>
        <w:rPr>
          <w:color w:val="0070C0"/>
          <w:lang w:val="en-ZA"/>
        </w:rPr>
      </w:pPr>
      <w:r w:rsidRPr="00D4098B">
        <w:rPr>
          <w:color w:val="0070C0"/>
          <w:lang w:val="en-ZA"/>
        </w:rPr>
        <w:t xml:space="preserve">TRANSFER TO SOUTH WEST AFRICA: Although this Act makes no reference to any minister, because of its subject matter it probably fell under the Executive Powers (Justice) Transfer Proclamation, AG 33 of 1979, dated 12 November 1979. In any event, there were no amendments to the Act in South Africa prior to Namibian independence. </w:t>
      </w:r>
    </w:p>
    <w:p w:rsidR="008938F7" w:rsidRPr="00AC2903" w:rsidRDefault="008938F7" w:rsidP="009F7600">
      <w:pPr>
        <w:pStyle w:val="AS-H1a"/>
        <w:pBdr>
          <w:between w:val="single" w:sz="4" w:space="1" w:color="auto"/>
        </w:pBdr>
      </w:pPr>
    </w:p>
    <w:p w:rsidR="008938F7" w:rsidRPr="00AC2903" w:rsidRDefault="008938F7" w:rsidP="009F7600">
      <w:pPr>
        <w:pStyle w:val="AS-H1a"/>
        <w:pBdr>
          <w:between w:val="single" w:sz="4" w:space="1" w:color="auto"/>
        </w:pBdr>
      </w:pPr>
    </w:p>
    <w:p w:rsidR="008938F7" w:rsidRPr="002E3094" w:rsidRDefault="007D662E" w:rsidP="008938F7">
      <w:pPr>
        <w:pStyle w:val="AS-H1a"/>
      </w:pPr>
      <w:r>
        <w:t>ACT</w:t>
      </w:r>
    </w:p>
    <w:p w:rsidR="008938F7" w:rsidRPr="002E3094" w:rsidRDefault="008938F7" w:rsidP="008938F7"/>
    <w:p w:rsidR="00C80F18" w:rsidRPr="00BC76E3" w:rsidRDefault="00C80F18" w:rsidP="00C80F18">
      <w:pPr>
        <w:pStyle w:val="AS-P0"/>
        <w:rPr>
          <w:b/>
        </w:rPr>
      </w:pPr>
      <w:r w:rsidRPr="00BC76E3">
        <w:rPr>
          <w:b/>
        </w:rPr>
        <w:t xml:space="preserve">To provide for the recognition and enforcement of foreign arbitral awards and for matters connected therewith. </w:t>
      </w:r>
    </w:p>
    <w:p w:rsidR="00C80F18" w:rsidRPr="00BC76E3" w:rsidRDefault="00C80F18" w:rsidP="00C80F18">
      <w:pPr>
        <w:pStyle w:val="AS-P0"/>
      </w:pPr>
    </w:p>
    <w:p w:rsidR="00C80F18" w:rsidRDefault="00C80F18" w:rsidP="00FB414A">
      <w:pPr>
        <w:pStyle w:val="AS-P0"/>
        <w:jc w:val="center"/>
        <w:rPr>
          <w:i/>
        </w:rPr>
      </w:pPr>
      <w:r w:rsidRPr="00BC76E3">
        <w:rPr>
          <w:i/>
        </w:rPr>
        <w:t>(English text signed by the State President)</w:t>
      </w:r>
    </w:p>
    <w:p w:rsidR="00C80F18" w:rsidRPr="00BC76E3" w:rsidRDefault="00C80F18" w:rsidP="00FB414A">
      <w:pPr>
        <w:pStyle w:val="AS-P0"/>
        <w:jc w:val="center"/>
        <w:rPr>
          <w:i/>
        </w:rPr>
      </w:pPr>
      <w:r w:rsidRPr="00BC76E3">
        <w:rPr>
          <w:i/>
        </w:rPr>
        <w:t>(Assented to 25 March 1977)</w:t>
      </w:r>
    </w:p>
    <w:p w:rsidR="005955EA" w:rsidRPr="00AC2903" w:rsidRDefault="005955EA" w:rsidP="005B23AF">
      <w:pPr>
        <w:pStyle w:val="AS-H1a"/>
        <w:pBdr>
          <w:between w:val="single" w:sz="4" w:space="1" w:color="auto"/>
        </w:pBdr>
      </w:pPr>
    </w:p>
    <w:p w:rsidR="005955EA" w:rsidRPr="00AC2903" w:rsidRDefault="005955EA" w:rsidP="005B23AF">
      <w:pPr>
        <w:pStyle w:val="AS-H1a"/>
        <w:pBdr>
          <w:between w:val="single" w:sz="4" w:space="1" w:color="auto"/>
        </w:pBdr>
      </w:pPr>
    </w:p>
    <w:p w:rsidR="008938F7" w:rsidRPr="00F84D66" w:rsidRDefault="008938F7" w:rsidP="008B568D">
      <w:pPr>
        <w:pStyle w:val="AS-H2"/>
        <w:rPr>
          <w:color w:val="00B050"/>
        </w:rPr>
      </w:pPr>
      <w:r w:rsidRPr="00F84D66">
        <w:rPr>
          <w:color w:val="00B050"/>
        </w:rPr>
        <w:t>ARRANGEMENT OF SECTIONS</w:t>
      </w:r>
    </w:p>
    <w:p w:rsidR="008938F7" w:rsidRPr="00F84D66" w:rsidRDefault="008938F7" w:rsidP="00447229">
      <w:pPr>
        <w:pStyle w:val="AS-P0"/>
        <w:rPr>
          <w:color w:val="00B050"/>
        </w:rPr>
      </w:pPr>
    </w:p>
    <w:p w:rsidR="008604B2" w:rsidRPr="00F84D66" w:rsidRDefault="00532DD1" w:rsidP="00E3577D">
      <w:pPr>
        <w:pStyle w:val="AS-P0"/>
        <w:rPr>
          <w:color w:val="00B050"/>
        </w:rPr>
      </w:pPr>
      <w:r w:rsidRPr="00F84D66">
        <w:rPr>
          <w:color w:val="00B050"/>
        </w:rPr>
        <w:t>1.</w:t>
      </w:r>
      <w:r w:rsidR="00F26626" w:rsidRPr="00F84D66">
        <w:rPr>
          <w:color w:val="00B050"/>
        </w:rPr>
        <w:tab/>
        <w:t>Definitions</w:t>
      </w:r>
    </w:p>
    <w:p w:rsidR="00143E17" w:rsidRPr="00F84D66" w:rsidRDefault="00532DD1" w:rsidP="00E3577D">
      <w:pPr>
        <w:pStyle w:val="AS-P0"/>
        <w:rPr>
          <w:color w:val="00B050"/>
        </w:rPr>
      </w:pPr>
      <w:r w:rsidRPr="00F84D66">
        <w:rPr>
          <w:color w:val="00B050"/>
        </w:rPr>
        <w:t>2.</w:t>
      </w:r>
      <w:r w:rsidRPr="00F84D66">
        <w:rPr>
          <w:color w:val="00B050"/>
        </w:rPr>
        <w:tab/>
      </w:r>
      <w:r w:rsidR="00503BDD" w:rsidRPr="00F84D66">
        <w:rPr>
          <w:color w:val="00B050"/>
        </w:rPr>
        <w:t>Foreign arb</w:t>
      </w:r>
      <w:r w:rsidR="00503BDD" w:rsidRPr="00F84D66">
        <w:rPr>
          <w:rFonts w:eastAsiaTheme="minorHAnsi"/>
          <w:color w:val="00B050"/>
        </w:rPr>
        <w:t>itral award may be made order of court and enforced as such</w:t>
      </w:r>
    </w:p>
    <w:p w:rsidR="00532DD1" w:rsidRPr="00F84D66" w:rsidRDefault="00532DD1" w:rsidP="00E3577D">
      <w:pPr>
        <w:pStyle w:val="AS-P0"/>
        <w:rPr>
          <w:color w:val="00B050"/>
        </w:rPr>
      </w:pPr>
      <w:r w:rsidRPr="00F84D66">
        <w:rPr>
          <w:color w:val="00B050"/>
        </w:rPr>
        <w:t>3.</w:t>
      </w:r>
      <w:r w:rsidRPr="00F84D66">
        <w:rPr>
          <w:color w:val="00B050"/>
        </w:rPr>
        <w:tab/>
      </w:r>
      <w:r w:rsidR="00A42CCA" w:rsidRPr="00F84D66">
        <w:rPr>
          <w:rFonts w:eastAsiaTheme="minorHAnsi"/>
          <w:color w:val="00B050"/>
        </w:rPr>
        <w:t>Application for award to be made order of court</w:t>
      </w:r>
    </w:p>
    <w:p w:rsidR="00532DD1" w:rsidRPr="00F84D66" w:rsidRDefault="00532DD1" w:rsidP="00E3577D">
      <w:pPr>
        <w:pStyle w:val="AS-P0"/>
        <w:rPr>
          <w:color w:val="00B050"/>
        </w:rPr>
      </w:pPr>
      <w:r w:rsidRPr="00F84D66">
        <w:rPr>
          <w:color w:val="00B050"/>
        </w:rPr>
        <w:t>4.</w:t>
      </w:r>
      <w:r w:rsidRPr="00F84D66">
        <w:rPr>
          <w:color w:val="00B050"/>
        </w:rPr>
        <w:tab/>
      </w:r>
      <w:r w:rsidR="00EC1010" w:rsidRPr="00F84D66">
        <w:rPr>
          <w:color w:val="00B050"/>
        </w:rPr>
        <w:t xml:space="preserve">When order of court may be </w:t>
      </w:r>
      <w:r w:rsidR="00EC1010" w:rsidRPr="00F84D66">
        <w:rPr>
          <w:rFonts w:eastAsiaTheme="minorHAnsi"/>
          <w:color w:val="00B050"/>
        </w:rPr>
        <w:t>refused</w:t>
      </w:r>
    </w:p>
    <w:p w:rsidR="00532DD1" w:rsidRPr="00F84D66" w:rsidRDefault="00532DD1" w:rsidP="00E3577D">
      <w:pPr>
        <w:pStyle w:val="AS-P0"/>
        <w:rPr>
          <w:color w:val="00B050"/>
        </w:rPr>
      </w:pPr>
      <w:r w:rsidRPr="00F84D66">
        <w:rPr>
          <w:color w:val="00B050"/>
        </w:rPr>
        <w:t>5.</w:t>
      </w:r>
      <w:r w:rsidRPr="00F84D66">
        <w:rPr>
          <w:color w:val="00B050"/>
        </w:rPr>
        <w:tab/>
      </w:r>
      <w:r w:rsidR="009305BB" w:rsidRPr="00F84D66">
        <w:rPr>
          <w:rFonts w:eastAsiaTheme="minorHAnsi"/>
          <w:color w:val="00B050"/>
        </w:rPr>
        <w:t>Short title</w:t>
      </w:r>
    </w:p>
    <w:p w:rsidR="00714BA2" w:rsidRDefault="00714BA2" w:rsidP="00447229">
      <w:pPr>
        <w:pStyle w:val="AS-P0"/>
      </w:pPr>
    </w:p>
    <w:p w:rsidR="00BC76E3" w:rsidRPr="00BC76E3" w:rsidRDefault="00BC76E3" w:rsidP="00BC76E3">
      <w:pPr>
        <w:pStyle w:val="AS-P0"/>
      </w:pPr>
    </w:p>
    <w:p w:rsidR="00043DB6" w:rsidRPr="00BC76E3" w:rsidRDefault="00043DB6" w:rsidP="00BC76E3">
      <w:pPr>
        <w:pStyle w:val="AS-P0"/>
      </w:pPr>
      <w:r w:rsidRPr="005D1728">
        <w:rPr>
          <w:spacing w:val="-2"/>
        </w:rPr>
        <w:lastRenderedPageBreak/>
        <w:t>BE IT ENACTED by the State President, the Senate and the House of Assembly of the Republic</w:t>
      </w:r>
      <w:r w:rsidRPr="00BC76E3">
        <w:t xml:space="preserve"> of South Africa, as follows:</w:t>
      </w:r>
      <w:r w:rsidR="00D67AA3">
        <w:t>-</w:t>
      </w:r>
    </w:p>
    <w:p w:rsidR="00D67AA3" w:rsidRDefault="00D67AA3" w:rsidP="00BC76E3">
      <w:pPr>
        <w:pStyle w:val="AS-P0"/>
      </w:pPr>
    </w:p>
    <w:p w:rsidR="00FE2A3C" w:rsidRDefault="00FE2A3C" w:rsidP="00BC76E3">
      <w:pPr>
        <w:pStyle w:val="AS-P0"/>
        <w:rPr>
          <w:b/>
        </w:rPr>
      </w:pPr>
      <w:r w:rsidRPr="00E3577D">
        <w:rPr>
          <w:b/>
        </w:rPr>
        <w:t>Definitions</w:t>
      </w:r>
    </w:p>
    <w:p w:rsidR="00FE2A3C" w:rsidRDefault="00FE2A3C" w:rsidP="00BC76E3">
      <w:pPr>
        <w:pStyle w:val="AS-P0"/>
      </w:pPr>
    </w:p>
    <w:p w:rsidR="00043DB6" w:rsidRPr="00BC76E3" w:rsidRDefault="00043DB6" w:rsidP="008679BD">
      <w:pPr>
        <w:pStyle w:val="AS-P1"/>
      </w:pPr>
      <w:r w:rsidRPr="00FE2A3C">
        <w:rPr>
          <w:b/>
        </w:rPr>
        <w:t>1.</w:t>
      </w:r>
      <w:r w:rsidRPr="00BC76E3">
        <w:t xml:space="preserve"> </w:t>
      </w:r>
      <w:r w:rsidR="006D6B7F">
        <w:tab/>
      </w:r>
      <w:r w:rsidRPr="00BC76E3">
        <w:t>In this Act, unless the context otherwise indicates</w:t>
      </w:r>
      <w:r w:rsidR="00FE2A3C">
        <w:t xml:space="preserve"> -</w:t>
      </w:r>
    </w:p>
    <w:p w:rsidR="00FE2A3C" w:rsidRDefault="00FE2A3C" w:rsidP="00BC76E3">
      <w:pPr>
        <w:pStyle w:val="AS-P0"/>
      </w:pPr>
    </w:p>
    <w:p w:rsidR="00043DB6" w:rsidRPr="00BC76E3" w:rsidRDefault="00BC76E3" w:rsidP="006956CE">
      <w:pPr>
        <w:pStyle w:val="AS-P0"/>
        <w:tabs>
          <w:tab w:val="left" w:pos="1276"/>
        </w:tabs>
      </w:pPr>
      <w:r>
        <w:t>“</w:t>
      </w:r>
      <w:r w:rsidR="00043DB6" w:rsidRPr="00BC76E3">
        <w:t>certified copy</w:t>
      </w:r>
      <w:r>
        <w:t>”</w:t>
      </w:r>
      <w:r w:rsidR="00043DB6" w:rsidRPr="00BC76E3">
        <w:t xml:space="preserve"> means a copy authenticated in the manner in which foreign</w:t>
      </w:r>
      <w:r w:rsidR="005576AF">
        <w:t xml:space="preserve"> </w:t>
      </w:r>
      <w:r w:rsidR="00043DB6" w:rsidRPr="00BC76E3">
        <w:t xml:space="preserve">documents may be authenticated to enable them to be produced in any court; </w:t>
      </w:r>
    </w:p>
    <w:p w:rsidR="00FE2A3C" w:rsidRDefault="00FE2A3C" w:rsidP="00BC76E3">
      <w:pPr>
        <w:pStyle w:val="AS-P0"/>
      </w:pPr>
    </w:p>
    <w:p w:rsidR="00043DB6" w:rsidRPr="00BC76E3" w:rsidRDefault="00BC76E3" w:rsidP="005576AF">
      <w:pPr>
        <w:pStyle w:val="AS-P0"/>
        <w:tabs>
          <w:tab w:val="clear" w:pos="567"/>
          <w:tab w:val="left" w:pos="1134"/>
          <w:tab w:val="left" w:pos="1276"/>
        </w:tabs>
      </w:pPr>
      <w:r>
        <w:t>“</w:t>
      </w:r>
      <w:r w:rsidR="00043DB6" w:rsidRPr="00BC76E3">
        <w:t>court</w:t>
      </w:r>
      <w:r>
        <w:t>”</w:t>
      </w:r>
      <w:r w:rsidR="00043DB6" w:rsidRPr="00BC76E3">
        <w:t xml:space="preserve"> means a court of a provincial or local division of the Supreme Court of South Africa; </w:t>
      </w:r>
    </w:p>
    <w:p w:rsidR="00043DB6" w:rsidRDefault="00043DB6" w:rsidP="00BC76E3">
      <w:pPr>
        <w:pStyle w:val="AS-P0"/>
      </w:pPr>
    </w:p>
    <w:p w:rsidR="00043DB6" w:rsidRPr="00BC76E3" w:rsidRDefault="00BC76E3" w:rsidP="00BC76E3">
      <w:pPr>
        <w:pStyle w:val="AS-P0"/>
      </w:pPr>
      <w:r>
        <w:t>“</w:t>
      </w:r>
      <w:r w:rsidR="00043DB6" w:rsidRPr="00BC76E3">
        <w:t>foreign arbitral award</w:t>
      </w:r>
      <w:r>
        <w:t>”</w:t>
      </w:r>
      <w:r w:rsidR="00043DB6" w:rsidRPr="00BC76E3">
        <w:t xml:space="preserve"> means an arbitral award</w:t>
      </w:r>
      <w:r w:rsidR="00285DF8">
        <w:t xml:space="preserve"> -</w:t>
      </w:r>
    </w:p>
    <w:p w:rsidR="00FE2A3C" w:rsidRDefault="00FE2A3C" w:rsidP="00BC76E3">
      <w:pPr>
        <w:pStyle w:val="AS-P0"/>
      </w:pPr>
    </w:p>
    <w:p w:rsidR="00043DB6" w:rsidRPr="00BC76E3" w:rsidRDefault="00043DB6" w:rsidP="005576AF">
      <w:pPr>
        <w:pStyle w:val="AS-Pa"/>
      </w:pPr>
      <w:r w:rsidRPr="005576AF">
        <w:t>(a)</w:t>
      </w:r>
      <w:r w:rsidRPr="00BC76E3">
        <w:t xml:space="preserve"> </w:t>
      </w:r>
      <w:r w:rsidR="0093274C">
        <w:tab/>
      </w:r>
      <w:r w:rsidRPr="00BC76E3">
        <w:t xml:space="preserve">made outside the Republic; or </w:t>
      </w:r>
    </w:p>
    <w:p w:rsidR="00FE2A3C" w:rsidRDefault="00FE2A3C" w:rsidP="005576AF">
      <w:pPr>
        <w:pStyle w:val="AS-Pa"/>
        <w:ind w:left="0"/>
      </w:pPr>
    </w:p>
    <w:p w:rsidR="00043DB6" w:rsidRPr="00BC76E3" w:rsidRDefault="00043DB6" w:rsidP="005576AF">
      <w:pPr>
        <w:pStyle w:val="AS-Pa"/>
      </w:pPr>
      <w:r w:rsidRPr="005576AF">
        <w:t>(b)</w:t>
      </w:r>
      <w:r w:rsidRPr="00BC76E3">
        <w:t xml:space="preserve"> </w:t>
      </w:r>
      <w:r w:rsidR="0093274C">
        <w:tab/>
      </w:r>
      <w:r w:rsidRPr="00BC76E3">
        <w:t xml:space="preserve">the enforcement of which is not permissible in terms of the Arbitration Act, 1965 (Act No. 42 of 1965), but is not in conflict with the provisions of this Act. </w:t>
      </w:r>
    </w:p>
    <w:p w:rsidR="00043DB6" w:rsidRDefault="00043DB6" w:rsidP="00BC76E3">
      <w:pPr>
        <w:pStyle w:val="AS-P0"/>
      </w:pPr>
    </w:p>
    <w:p w:rsidR="00FE2A3C" w:rsidRDefault="00FE2A3C" w:rsidP="00BC76E3">
      <w:pPr>
        <w:pStyle w:val="AS-P0"/>
        <w:rPr>
          <w:rFonts w:eastAsiaTheme="minorHAnsi"/>
          <w:b/>
        </w:rPr>
      </w:pPr>
      <w:r w:rsidRPr="00E3577D">
        <w:rPr>
          <w:b/>
        </w:rPr>
        <w:t>Foreign arb</w:t>
      </w:r>
      <w:r w:rsidRPr="00E3577D">
        <w:rPr>
          <w:rFonts w:eastAsiaTheme="minorHAnsi"/>
          <w:b/>
        </w:rPr>
        <w:t>itral award may be made order of court and enforced as such</w:t>
      </w:r>
    </w:p>
    <w:p w:rsidR="00FE2A3C" w:rsidRPr="00BC76E3" w:rsidRDefault="00FE2A3C" w:rsidP="00BC76E3">
      <w:pPr>
        <w:pStyle w:val="AS-P0"/>
      </w:pPr>
    </w:p>
    <w:p w:rsidR="00043DB6" w:rsidRPr="00BC76E3" w:rsidRDefault="00043DB6" w:rsidP="00227356">
      <w:pPr>
        <w:pStyle w:val="AS-P1"/>
      </w:pPr>
      <w:r w:rsidRPr="00FE2A3C">
        <w:rPr>
          <w:b/>
        </w:rPr>
        <w:t>2.</w:t>
      </w:r>
      <w:r w:rsidRPr="00BC76E3">
        <w:t xml:space="preserve"> </w:t>
      </w:r>
      <w:r w:rsidR="000D011E">
        <w:tab/>
      </w:r>
      <w:r w:rsidRPr="00BC76E3">
        <w:t>(</w:t>
      </w:r>
      <w:r w:rsidR="008D761E">
        <w:t>1</w:t>
      </w:r>
      <w:r w:rsidRPr="00BC76E3">
        <w:t xml:space="preserve">) </w:t>
      </w:r>
      <w:r w:rsidR="000D011E">
        <w:tab/>
      </w:r>
      <w:r w:rsidRPr="00BC76E3">
        <w:t xml:space="preserve">Any foreign arbitral award may, subject to the provisions of sections 3 and 4, be made an order of court by any court. </w:t>
      </w:r>
    </w:p>
    <w:p w:rsidR="00FE2A3C" w:rsidRDefault="00FE2A3C" w:rsidP="00227356">
      <w:pPr>
        <w:pStyle w:val="AS-P1"/>
      </w:pPr>
    </w:p>
    <w:p w:rsidR="00043DB6" w:rsidRPr="00BC76E3" w:rsidRDefault="00043DB6" w:rsidP="00227356">
      <w:pPr>
        <w:pStyle w:val="AS-P1"/>
      </w:pPr>
      <w:r w:rsidRPr="00BC76E3">
        <w:t xml:space="preserve">(2) </w:t>
      </w:r>
      <w:r w:rsidR="000D011E">
        <w:tab/>
      </w:r>
      <w:r w:rsidRPr="00BC76E3">
        <w:t xml:space="preserve">Where any amount payable in terms of such award is expressed in a currency other than the currency of the Republic, the award shall be made an order of court as if it were an award for such amount in the currency of the Republic as, on the basis of the rate of exchange prevailing at the date of the award, is equivalent to the amount so payable. </w:t>
      </w:r>
    </w:p>
    <w:p w:rsidR="00FE2A3C" w:rsidRDefault="00FE2A3C" w:rsidP="00227356">
      <w:pPr>
        <w:pStyle w:val="AS-P1"/>
      </w:pPr>
    </w:p>
    <w:p w:rsidR="00043DB6" w:rsidRPr="00BC76E3" w:rsidRDefault="00043DB6" w:rsidP="00227356">
      <w:pPr>
        <w:pStyle w:val="AS-P1"/>
      </w:pPr>
      <w:r w:rsidRPr="00BC76E3">
        <w:t xml:space="preserve">(3) </w:t>
      </w:r>
      <w:r w:rsidR="000D011E">
        <w:tab/>
      </w:r>
      <w:r w:rsidRPr="00BC76E3">
        <w:t>Any such award which has under subsection (</w:t>
      </w:r>
      <w:r w:rsidR="008D761E">
        <w:t>1</w:t>
      </w:r>
      <w:r w:rsidRPr="00BC76E3">
        <w:t xml:space="preserve">) been made an order of court, may be enforced in the same manner as any judgment or order to the same effect. </w:t>
      </w:r>
    </w:p>
    <w:p w:rsidR="00043DB6" w:rsidRDefault="00043DB6" w:rsidP="00BC76E3">
      <w:pPr>
        <w:pStyle w:val="AS-P0"/>
      </w:pPr>
    </w:p>
    <w:p w:rsidR="00FE2A3C" w:rsidRDefault="00FE2A3C" w:rsidP="00BC76E3">
      <w:pPr>
        <w:pStyle w:val="AS-P0"/>
        <w:rPr>
          <w:rFonts w:eastAsiaTheme="minorHAnsi"/>
          <w:b/>
        </w:rPr>
      </w:pPr>
      <w:r w:rsidRPr="00E3577D">
        <w:rPr>
          <w:rFonts w:eastAsiaTheme="minorHAnsi"/>
          <w:b/>
        </w:rPr>
        <w:t>Application for award to be made order of court</w:t>
      </w:r>
    </w:p>
    <w:p w:rsidR="00FE2A3C" w:rsidRPr="00BC76E3" w:rsidRDefault="00FE2A3C" w:rsidP="00BC76E3">
      <w:pPr>
        <w:pStyle w:val="AS-P0"/>
      </w:pPr>
    </w:p>
    <w:p w:rsidR="00043DB6" w:rsidRPr="00BC76E3" w:rsidRDefault="00043DB6" w:rsidP="00CA6418">
      <w:pPr>
        <w:pStyle w:val="AS-P1"/>
      </w:pPr>
      <w:r w:rsidRPr="00FE2A3C">
        <w:rPr>
          <w:b/>
        </w:rPr>
        <w:t>3.</w:t>
      </w:r>
      <w:r w:rsidRPr="00BC76E3">
        <w:t xml:space="preserve"> </w:t>
      </w:r>
      <w:r w:rsidR="00CA6418">
        <w:tab/>
      </w:r>
      <w:r w:rsidRPr="00BC76E3">
        <w:t>Application for an order of c</w:t>
      </w:r>
      <w:r w:rsidR="00AF041B">
        <w:t>ourt mentioned in section 2</w:t>
      </w:r>
      <w:r w:rsidRPr="00BC76E3">
        <w:t>(</w:t>
      </w:r>
      <w:r w:rsidR="00AF041B">
        <w:t>1</w:t>
      </w:r>
      <w:r w:rsidRPr="00BC76E3">
        <w:t>) shall be made to any court and shall</w:t>
      </w:r>
      <w:r w:rsidR="0096484B">
        <w:t xml:space="preserve"> -</w:t>
      </w:r>
    </w:p>
    <w:p w:rsidR="00FE2A3C" w:rsidRDefault="00FE2A3C" w:rsidP="00BC76E3">
      <w:pPr>
        <w:pStyle w:val="AS-P0"/>
      </w:pPr>
    </w:p>
    <w:p w:rsidR="00043DB6" w:rsidRPr="00BC76E3" w:rsidRDefault="00043DB6" w:rsidP="0096484B">
      <w:pPr>
        <w:pStyle w:val="AS-Pa"/>
      </w:pPr>
      <w:r w:rsidRPr="00BC76E3">
        <w:t xml:space="preserve">(a) </w:t>
      </w:r>
      <w:r w:rsidR="0096484B">
        <w:tab/>
      </w:r>
      <w:r w:rsidRPr="00BC76E3">
        <w:t>be accompanied by</w:t>
      </w:r>
      <w:r w:rsidR="0096484B">
        <w:t xml:space="preserve"> -</w:t>
      </w:r>
    </w:p>
    <w:p w:rsidR="00FE2A3C" w:rsidRDefault="00FE2A3C" w:rsidP="00BC76E3">
      <w:pPr>
        <w:pStyle w:val="AS-P0"/>
      </w:pPr>
    </w:p>
    <w:p w:rsidR="00043DB6" w:rsidRPr="00BC76E3" w:rsidRDefault="00043DB6" w:rsidP="00AC6E44">
      <w:pPr>
        <w:pStyle w:val="AS-Pi"/>
      </w:pPr>
      <w:r w:rsidRPr="00BC76E3">
        <w:t xml:space="preserve">(i) </w:t>
      </w:r>
      <w:r w:rsidR="00AC6E44">
        <w:tab/>
      </w:r>
      <w:r w:rsidRPr="00BC76E3">
        <w:t xml:space="preserve">the original foreign arbitral award concerned and the original arbitration agreement in terms of which that award was made, authenticated in the manner in which foreign documents may be authenticated to enable them to be produced in any court; or </w:t>
      </w:r>
    </w:p>
    <w:p w:rsidR="00FE2A3C" w:rsidRDefault="00FE2A3C" w:rsidP="00AC6E44">
      <w:pPr>
        <w:pStyle w:val="AS-Pi"/>
      </w:pPr>
    </w:p>
    <w:p w:rsidR="00043DB6" w:rsidRPr="00BC76E3" w:rsidRDefault="00043DB6" w:rsidP="00AC6E44">
      <w:pPr>
        <w:pStyle w:val="AS-Pi"/>
      </w:pPr>
      <w:r w:rsidRPr="00BC76E3">
        <w:t xml:space="preserve">(ii) </w:t>
      </w:r>
      <w:r w:rsidR="00AC6E44">
        <w:tab/>
      </w:r>
      <w:r w:rsidRPr="00BC76E3">
        <w:t xml:space="preserve">a certified copy of that award and of that agreement; and </w:t>
      </w:r>
    </w:p>
    <w:p w:rsidR="00FE2A3C" w:rsidRDefault="00FE2A3C" w:rsidP="00BC76E3">
      <w:pPr>
        <w:pStyle w:val="AS-P0"/>
      </w:pPr>
    </w:p>
    <w:p w:rsidR="00043DB6" w:rsidRPr="00BC76E3" w:rsidRDefault="00043DB6" w:rsidP="005B235E">
      <w:pPr>
        <w:pStyle w:val="AS-Pa"/>
      </w:pPr>
      <w:r w:rsidRPr="00BC76E3">
        <w:t xml:space="preserve">(b) </w:t>
      </w:r>
      <w:r w:rsidR="00C214F2">
        <w:tab/>
      </w:r>
      <w:r w:rsidRPr="00BC76E3">
        <w:t xml:space="preserve">if that award or agreement is in any language other than one of the official languages of the Republic, be accompanied by a sworn translation thereof into one of such official languages, authenticated in the manner in which foreign documents may be authenticated to enable them to be produced in any court. </w:t>
      </w:r>
    </w:p>
    <w:p w:rsidR="00FE2A3C" w:rsidRDefault="00FE2A3C" w:rsidP="00BC76E3">
      <w:pPr>
        <w:pStyle w:val="AS-P0"/>
      </w:pPr>
    </w:p>
    <w:p w:rsidR="004B5F9E" w:rsidRPr="00E52983" w:rsidRDefault="004B5F9E" w:rsidP="004B5F9E">
      <w:pPr>
        <w:pStyle w:val="REG-Amend"/>
      </w:pPr>
      <w:r w:rsidRPr="003B6462">
        <w:t xml:space="preserve">[The term “official languages” refers to the period before independence when </w:t>
      </w:r>
      <w:r>
        <w:br/>
      </w:r>
      <w:r w:rsidRPr="003B6462">
        <w:t>English and Afrikaans were both official languages of “South West Africa”.</w:t>
      </w:r>
      <w:r>
        <w:t xml:space="preserve"> </w:t>
      </w:r>
      <w:r w:rsidRPr="003B6462">
        <w:t xml:space="preserve">The </w:t>
      </w:r>
      <w:r>
        <w:br/>
      </w:r>
      <w:r w:rsidRPr="003B6462">
        <w:t>only official language of Namibia is English (Namibian Constitution, Art 3(1)).]</w:t>
      </w:r>
    </w:p>
    <w:p w:rsidR="004065FD" w:rsidRDefault="004065FD" w:rsidP="00BC76E3">
      <w:pPr>
        <w:pStyle w:val="AS-P0"/>
      </w:pPr>
    </w:p>
    <w:p w:rsidR="00FE2A3C" w:rsidRDefault="00FE2A3C" w:rsidP="00BC76E3">
      <w:pPr>
        <w:pStyle w:val="AS-P0"/>
        <w:rPr>
          <w:rFonts w:eastAsiaTheme="minorHAnsi"/>
          <w:b/>
        </w:rPr>
      </w:pPr>
      <w:r w:rsidRPr="00E3577D">
        <w:rPr>
          <w:b/>
        </w:rPr>
        <w:t xml:space="preserve">When order of court may be </w:t>
      </w:r>
      <w:r w:rsidRPr="00E3577D">
        <w:rPr>
          <w:rFonts w:eastAsiaTheme="minorHAnsi"/>
          <w:b/>
        </w:rPr>
        <w:t>refused</w:t>
      </w:r>
    </w:p>
    <w:p w:rsidR="00FE2A3C" w:rsidRDefault="00FE2A3C" w:rsidP="00BC76E3">
      <w:pPr>
        <w:pStyle w:val="AS-P0"/>
      </w:pPr>
    </w:p>
    <w:p w:rsidR="00043DB6" w:rsidRPr="00BC76E3" w:rsidRDefault="00043DB6" w:rsidP="00E84BD2">
      <w:pPr>
        <w:pStyle w:val="AS-P1"/>
      </w:pPr>
      <w:r w:rsidRPr="00FE2A3C">
        <w:rPr>
          <w:b/>
        </w:rPr>
        <w:t>4.</w:t>
      </w:r>
      <w:r w:rsidRPr="00BC76E3">
        <w:t xml:space="preserve"> </w:t>
      </w:r>
      <w:r w:rsidR="0026436F">
        <w:tab/>
      </w:r>
      <w:r w:rsidRPr="00BC76E3">
        <w:t xml:space="preserve">(1) </w:t>
      </w:r>
      <w:r w:rsidR="0026436F">
        <w:tab/>
      </w:r>
      <w:r w:rsidRPr="00BC76E3">
        <w:t>A court may refuse to grant an application for an order of court in terms of section 3 if</w:t>
      </w:r>
      <w:r w:rsidR="00E84BD2">
        <w:t xml:space="preserve"> -</w:t>
      </w:r>
    </w:p>
    <w:p w:rsidR="00FE2A3C" w:rsidRDefault="00FE2A3C" w:rsidP="00BC76E3">
      <w:pPr>
        <w:pStyle w:val="AS-P0"/>
      </w:pPr>
    </w:p>
    <w:p w:rsidR="00043DB6" w:rsidRPr="00BC76E3" w:rsidRDefault="00043DB6" w:rsidP="00E84BD2">
      <w:pPr>
        <w:pStyle w:val="AS-Pa"/>
      </w:pPr>
      <w:r w:rsidRPr="00BC76E3">
        <w:t xml:space="preserve">(a) </w:t>
      </w:r>
      <w:r w:rsidR="00E84BD2">
        <w:tab/>
      </w:r>
      <w:r w:rsidRPr="00BC76E3">
        <w:t>the court finds that</w:t>
      </w:r>
      <w:r w:rsidR="00E84BD2">
        <w:t xml:space="preserve"> -</w:t>
      </w:r>
    </w:p>
    <w:p w:rsidR="00FE2A3C" w:rsidRDefault="00FE2A3C" w:rsidP="00BC76E3">
      <w:pPr>
        <w:pStyle w:val="AS-P0"/>
      </w:pPr>
    </w:p>
    <w:p w:rsidR="00043DB6" w:rsidRPr="00BC76E3" w:rsidRDefault="00043DB6" w:rsidP="00E84BD2">
      <w:pPr>
        <w:pStyle w:val="AS-Pi"/>
      </w:pPr>
      <w:r w:rsidRPr="00BC76E3">
        <w:t xml:space="preserve">(i) </w:t>
      </w:r>
      <w:r w:rsidR="00E84BD2">
        <w:tab/>
      </w:r>
      <w:r w:rsidRPr="00BC76E3">
        <w:t xml:space="preserve">a reference to arbitration is not permissible in the Republic in respect of the subject-matter of the dispute concerned; or </w:t>
      </w:r>
    </w:p>
    <w:p w:rsidR="00FE2A3C" w:rsidRDefault="00FE2A3C" w:rsidP="00E84BD2">
      <w:pPr>
        <w:pStyle w:val="AS-Pi"/>
      </w:pPr>
    </w:p>
    <w:p w:rsidR="00043DB6" w:rsidRPr="00BC76E3" w:rsidRDefault="00043DB6" w:rsidP="00E84BD2">
      <w:pPr>
        <w:pStyle w:val="AS-Pi"/>
      </w:pPr>
      <w:r w:rsidRPr="00BC76E3">
        <w:t xml:space="preserve">(ii) </w:t>
      </w:r>
      <w:r w:rsidR="00E84BD2">
        <w:tab/>
      </w:r>
      <w:r w:rsidRPr="00BC76E3">
        <w:t xml:space="preserve">enforcement of the award concerned would be contrary to public policy in the Republic; or </w:t>
      </w:r>
    </w:p>
    <w:p w:rsidR="00FE2A3C" w:rsidRDefault="00FE2A3C" w:rsidP="00BC76E3">
      <w:pPr>
        <w:pStyle w:val="AS-P0"/>
      </w:pPr>
    </w:p>
    <w:p w:rsidR="00043DB6" w:rsidRPr="00BC76E3" w:rsidRDefault="00043DB6" w:rsidP="004A0EA5">
      <w:pPr>
        <w:pStyle w:val="AS-Pa"/>
      </w:pPr>
      <w:r w:rsidRPr="00BC76E3">
        <w:t xml:space="preserve">(b) </w:t>
      </w:r>
      <w:r w:rsidR="004A0EA5">
        <w:tab/>
      </w:r>
      <w:r w:rsidRPr="00BC76E3">
        <w:t>the party against whom the enforcement of the award concerned is sought, proves to the satisfaction of the court that</w:t>
      </w:r>
      <w:r w:rsidR="00F46993">
        <w:t xml:space="preserve"> -</w:t>
      </w:r>
    </w:p>
    <w:p w:rsidR="00FE2A3C" w:rsidRDefault="00FE2A3C" w:rsidP="00BC76E3">
      <w:pPr>
        <w:pStyle w:val="AS-P0"/>
      </w:pPr>
    </w:p>
    <w:p w:rsidR="00043DB6" w:rsidRPr="00BC76E3" w:rsidRDefault="00043DB6" w:rsidP="00F46993">
      <w:pPr>
        <w:pStyle w:val="AS-Pi"/>
      </w:pPr>
      <w:r w:rsidRPr="00BC76E3">
        <w:t xml:space="preserve">(i) </w:t>
      </w:r>
      <w:r w:rsidR="00F46993">
        <w:tab/>
      </w:r>
      <w:r w:rsidRPr="00BC76E3">
        <w:t xml:space="preserve">the parties to the arbitration agreement concerned had, under the law applicable to them, no capacity to contract, or that the said agreement is invalid under the law to which the parties have subjected it or of the country in which the award was made; or </w:t>
      </w:r>
    </w:p>
    <w:p w:rsidR="00FE2A3C" w:rsidRDefault="00FE2A3C" w:rsidP="00F46993">
      <w:pPr>
        <w:pStyle w:val="AS-Pi"/>
      </w:pPr>
    </w:p>
    <w:p w:rsidR="00043DB6" w:rsidRPr="00BC76E3" w:rsidRDefault="00043DB6" w:rsidP="00F46993">
      <w:pPr>
        <w:pStyle w:val="AS-Pi"/>
      </w:pPr>
      <w:r w:rsidRPr="00BC76E3">
        <w:t xml:space="preserve">(ii) </w:t>
      </w:r>
      <w:r w:rsidR="00F46993">
        <w:tab/>
      </w:r>
      <w:r w:rsidRPr="00BC76E3">
        <w:t xml:space="preserve">he did not receive the required notice of the appointment of the arbitrator or of the arbitration proceedings concerned or was otherwise not able to present his case; or </w:t>
      </w:r>
    </w:p>
    <w:p w:rsidR="00043DB6" w:rsidRPr="00BC76E3" w:rsidRDefault="00043DB6" w:rsidP="00F46993">
      <w:pPr>
        <w:pStyle w:val="AS-Pi"/>
      </w:pPr>
    </w:p>
    <w:p w:rsidR="00043DB6" w:rsidRPr="00BC76E3" w:rsidRDefault="00043DB6" w:rsidP="00F46993">
      <w:pPr>
        <w:pStyle w:val="AS-Pi"/>
      </w:pPr>
      <w:r w:rsidRPr="00BC76E3">
        <w:t xml:space="preserve">(iii) </w:t>
      </w:r>
      <w:r w:rsidR="00F46993">
        <w:tab/>
      </w:r>
      <w:r w:rsidRPr="00BC76E3">
        <w:t>the award deals with a dispute not contemplated by or falling within the provisions of the relevant reference to arbitration, or that it contains decisions on matters beyond the scope of the reference to arbitration: Provided that if the decisions on matters referred to arbitration can be separated from those on matters not so referred, that part of the award which contains decisions on matters referred to arbitration may be made an</w:t>
      </w:r>
      <w:r w:rsidR="00F46993">
        <w:t xml:space="preserve"> order of court under section 2</w:t>
      </w:r>
      <w:r w:rsidRPr="00BC76E3">
        <w:t xml:space="preserve">(1); or </w:t>
      </w:r>
    </w:p>
    <w:p w:rsidR="00FE2A3C" w:rsidRDefault="00FE2A3C" w:rsidP="00F46993">
      <w:pPr>
        <w:pStyle w:val="AS-Pi"/>
      </w:pPr>
    </w:p>
    <w:p w:rsidR="00043DB6" w:rsidRPr="00BC76E3" w:rsidRDefault="00043DB6" w:rsidP="00F46993">
      <w:pPr>
        <w:pStyle w:val="AS-Pi"/>
      </w:pPr>
      <w:r w:rsidRPr="00BC76E3">
        <w:t xml:space="preserve">(iv) </w:t>
      </w:r>
      <w:r w:rsidR="00F46993">
        <w:tab/>
      </w:r>
      <w:r w:rsidRPr="00BC76E3">
        <w:t xml:space="preserve">the constitution of the arbitration tribunal concerned was or the arbitration proceedings concerned were not in accordance with the relevant arbitration agreement or with the law of the country in which the arbitration took place; or </w:t>
      </w:r>
    </w:p>
    <w:p w:rsidR="00FE2A3C" w:rsidRDefault="00FE2A3C" w:rsidP="00F46993">
      <w:pPr>
        <w:pStyle w:val="AS-Pi"/>
      </w:pPr>
    </w:p>
    <w:p w:rsidR="00043DB6" w:rsidRPr="00BC76E3" w:rsidRDefault="00043DB6" w:rsidP="00F46993">
      <w:pPr>
        <w:pStyle w:val="AS-Pi"/>
      </w:pPr>
      <w:r w:rsidRPr="00BC76E3">
        <w:t xml:space="preserve">(v) </w:t>
      </w:r>
      <w:r w:rsidR="00F46993">
        <w:tab/>
      </w:r>
      <w:r w:rsidRPr="00BC76E3">
        <w:t xml:space="preserve">the award has not yet become binding on the parties, or has been set aside or suspended by a competent authority of the country in which, or under the law of which, the award was made. </w:t>
      </w:r>
    </w:p>
    <w:p w:rsidR="00043DB6" w:rsidRPr="00BC76E3" w:rsidRDefault="00043DB6" w:rsidP="00BC76E3">
      <w:pPr>
        <w:pStyle w:val="AS-P0"/>
      </w:pPr>
    </w:p>
    <w:p w:rsidR="00043DB6" w:rsidRPr="00BC76E3" w:rsidRDefault="00043DB6" w:rsidP="00AC5FA1">
      <w:pPr>
        <w:pStyle w:val="AS-P1"/>
      </w:pPr>
      <w:r w:rsidRPr="00BC76E3">
        <w:t xml:space="preserve">(2) </w:t>
      </w:r>
      <w:r w:rsidR="00AC5FA1">
        <w:tab/>
      </w:r>
      <w:r w:rsidRPr="00BC76E3">
        <w:t>If, on an application in terms of section 3, the court is satisfied that an application for the setting aside or suspension of the award has been made to a competent authority of the country in which, or under the law of which, the award was made, the court may in its discretion post</w:t>
      </w:r>
      <w:r w:rsidR="00562923">
        <w:t>p</w:t>
      </w:r>
      <w:r w:rsidRPr="00BC76E3">
        <w:t xml:space="preserve">one the hearing of the said application in terms of section 3, to such date as it may determine, and may thereupon, on the application of the party seeking to enforce the award, order the party against whom the enforcement is sought, to give suitable and specified security. </w:t>
      </w:r>
    </w:p>
    <w:p w:rsidR="00FE2A3C" w:rsidRDefault="00FE2A3C" w:rsidP="00BC76E3">
      <w:pPr>
        <w:pStyle w:val="AS-P0"/>
      </w:pPr>
    </w:p>
    <w:p w:rsidR="00FE2A3C" w:rsidRDefault="00FE2A3C" w:rsidP="00BC76E3">
      <w:pPr>
        <w:pStyle w:val="AS-P0"/>
        <w:rPr>
          <w:rFonts w:eastAsiaTheme="minorHAnsi"/>
          <w:b/>
        </w:rPr>
      </w:pPr>
      <w:r w:rsidRPr="00E3577D">
        <w:rPr>
          <w:rFonts w:eastAsiaTheme="minorHAnsi"/>
          <w:b/>
        </w:rPr>
        <w:t>Short title</w:t>
      </w:r>
    </w:p>
    <w:p w:rsidR="00FE2A3C" w:rsidRDefault="00FE2A3C" w:rsidP="00BC76E3">
      <w:pPr>
        <w:pStyle w:val="AS-P0"/>
      </w:pPr>
    </w:p>
    <w:p w:rsidR="00280DCD" w:rsidRPr="00BC76E3" w:rsidRDefault="00043DB6" w:rsidP="008539D6">
      <w:pPr>
        <w:pStyle w:val="AS-P1"/>
      </w:pPr>
      <w:r w:rsidRPr="00FE2A3C">
        <w:rPr>
          <w:b/>
        </w:rPr>
        <w:t>5.</w:t>
      </w:r>
      <w:r w:rsidRPr="00BC76E3">
        <w:t xml:space="preserve"> </w:t>
      </w:r>
      <w:r w:rsidR="008539D6">
        <w:tab/>
      </w:r>
      <w:r w:rsidRPr="00BC76E3">
        <w:t>This Act shall be called the Recognition and Enforcement of Foreign Arbitral Awards Act, 1977.</w:t>
      </w:r>
    </w:p>
    <w:p w:rsidR="00280DCD" w:rsidRPr="00737805" w:rsidRDefault="00280DCD" w:rsidP="00447229">
      <w:pPr>
        <w:pStyle w:val="AS-P0"/>
      </w:pPr>
    </w:p>
    <w:sectPr w:rsidR="00280DCD" w:rsidRPr="00737805" w:rsidSect="00426221">
      <w:headerReference w:type="default" r:id="rId10"/>
      <w:pgSz w:w="11900" w:h="16840" w:code="9"/>
      <w:pgMar w:top="1985" w:right="1701" w:bottom="851" w:left="1701" w:header="851" w:footer="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85E3A" w:rsidRDefault="00D85E3A">
      <w:r>
        <w:separator/>
      </w:r>
    </w:p>
  </w:endnote>
  <w:endnote w:type="continuationSeparator" w:id="0">
    <w:p w:rsidR="00D85E3A" w:rsidRDefault="00D85E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Tahoma">
    <w:panose1 w:val="020B0604030504040204"/>
    <w:charset w:val="00"/>
    <w:family w:val="swiss"/>
    <w:pitch w:val="variable"/>
    <w:sig w:usb0="E1002EFF" w:usb1="C000605B" w:usb2="00000029" w:usb3="00000000" w:csb0="000101FF" w:csb1="00000000"/>
  </w:font>
  <w:font w:name="Times">
    <w:altName w:val="Times"/>
    <w:panose1 w:val="02020603050405020304"/>
    <w:charset w:val="00"/>
    <w:family w:val="roman"/>
    <w:pitch w:val="variable"/>
    <w:sig w:usb0="00000007" w:usb1="00000000" w:usb2="00000000" w:usb3="00000000" w:csb0="00000093"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85E3A" w:rsidRDefault="00D85E3A">
      <w:r>
        <w:separator/>
      </w:r>
    </w:p>
  </w:footnote>
  <w:footnote w:type="continuationSeparator" w:id="0">
    <w:p w:rsidR="00D85E3A" w:rsidRDefault="00D85E3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F0042" w:rsidRPr="00DC6273" w:rsidRDefault="000B4FB6" w:rsidP="00FC33A9">
    <w:pPr>
      <w:spacing w:after="120"/>
      <w:jc w:val="center"/>
      <w:rPr>
        <w:rFonts w:ascii="Arial" w:hAnsi="Arial" w:cs="Arial"/>
        <w:sz w:val="16"/>
        <w:szCs w:val="16"/>
      </w:rPr>
    </w:pPr>
    <w:r w:rsidRPr="00A41A02">
      <w:rPr>
        <w:rFonts w:ascii="Arial" w:hAnsi="Arial" w:cs="Arial"/>
        <w:sz w:val="12"/>
        <w:szCs w:val="16"/>
      </w:rPr>
      <w:t>Republic of Namibia</w:t>
    </w:r>
    <w:r w:rsidR="00BF0042" w:rsidRPr="00FC33A9">
      <w:rPr>
        <w:rFonts w:ascii="Arial" w:hAnsi="Arial" w:cs="Arial"/>
        <w:w w:val="600"/>
        <w:sz w:val="12"/>
        <w:szCs w:val="16"/>
      </w:rPr>
      <w:t xml:space="preserve"> </w:t>
    </w:r>
    <w:r w:rsidR="004648DA" w:rsidRPr="00DC6273">
      <w:rPr>
        <w:rFonts w:ascii="Arial" w:hAnsi="Arial" w:cs="Arial"/>
        <w:b/>
        <w:noProof w:val="0"/>
        <w:sz w:val="16"/>
        <w:szCs w:val="16"/>
      </w:rPr>
      <w:fldChar w:fldCharType="begin"/>
    </w:r>
    <w:r w:rsidR="00BF0042" w:rsidRPr="00DC6273">
      <w:rPr>
        <w:rFonts w:ascii="Arial" w:hAnsi="Arial" w:cs="Arial"/>
        <w:b/>
        <w:sz w:val="16"/>
        <w:szCs w:val="16"/>
      </w:rPr>
      <w:instrText xml:space="preserve"> PAGE   \* MERGEFORMAT </w:instrText>
    </w:r>
    <w:r w:rsidR="004648DA" w:rsidRPr="00DC6273">
      <w:rPr>
        <w:rFonts w:ascii="Arial" w:hAnsi="Arial" w:cs="Arial"/>
        <w:b/>
        <w:noProof w:val="0"/>
        <w:sz w:val="16"/>
        <w:szCs w:val="16"/>
      </w:rPr>
      <w:fldChar w:fldCharType="separate"/>
    </w:r>
    <w:r w:rsidR="00ED270B">
      <w:rPr>
        <w:rFonts w:ascii="Arial" w:hAnsi="Arial" w:cs="Arial"/>
        <w:b/>
        <w:sz w:val="16"/>
        <w:szCs w:val="16"/>
      </w:rPr>
      <w:t>3</w:t>
    </w:r>
    <w:r w:rsidR="004648DA" w:rsidRPr="00DC6273">
      <w:rPr>
        <w:rFonts w:ascii="Arial" w:hAnsi="Arial" w:cs="Arial"/>
        <w:b/>
        <w:sz w:val="16"/>
        <w:szCs w:val="16"/>
      </w:rPr>
      <w:fldChar w:fldCharType="end"/>
    </w:r>
    <w:r w:rsidR="00BF0042" w:rsidRPr="00FC33A9">
      <w:rPr>
        <w:rFonts w:ascii="Arial" w:hAnsi="Arial" w:cs="Arial"/>
        <w:w w:val="600"/>
        <w:sz w:val="12"/>
        <w:szCs w:val="16"/>
      </w:rPr>
      <w:t xml:space="preserve"> </w:t>
    </w:r>
    <w:r>
      <w:rPr>
        <w:rFonts w:ascii="Arial" w:hAnsi="Arial" w:cs="Arial"/>
        <w:sz w:val="12"/>
        <w:szCs w:val="16"/>
      </w:rPr>
      <w:t>Annotated Statutes</w:t>
    </w:r>
    <w:r w:rsidR="00BF0042">
      <w:rPr>
        <w:rFonts w:ascii="Arial" w:hAnsi="Arial" w:cs="Arial"/>
        <w:b/>
        <w:sz w:val="16"/>
        <w:szCs w:val="16"/>
      </w:rPr>
      <w:t xml:space="preserve"> </w:t>
    </w:r>
  </w:p>
  <w:p w:rsidR="00BF0042" w:rsidRDefault="002E3521" w:rsidP="00382133">
    <w:pPr>
      <w:pStyle w:val="ASHeader"/>
    </w:pPr>
    <w:r w:rsidRPr="002E3521">
      <w:t>Recognition and Enforcement of Foreign Arbitral Awards Act 40 of 1977</w:t>
    </w:r>
    <w:r w:rsidR="009532C3">
      <w:t xml:space="preserve"> (</w:t>
    </w:r>
    <w:r>
      <w:t>R</w:t>
    </w:r>
    <w:r w:rsidR="009532C3">
      <w:t>SA)</w:t>
    </w:r>
    <w:r w:rsidR="00BF0042" w:rsidRPr="00DC6273">
      <w:t xml:space="preserve"> </w:t>
    </w:r>
  </w:p>
  <w:p w:rsidR="00BF0042" w:rsidRPr="00940A34" w:rsidRDefault="00BF0042" w:rsidP="00FC33A9">
    <w:pPr>
      <w:pBdr>
        <w:bottom w:val="single" w:sz="4" w:space="1" w:color="auto"/>
      </w:pBdr>
      <w:rPr>
        <w:sz w:val="12"/>
        <w:szCs w:val="16"/>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70947EDA"/>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53F01B8"/>
    <w:multiLevelType w:val="hybridMultilevel"/>
    <w:tmpl w:val="E79E388C"/>
    <w:lvl w:ilvl="0" w:tplc="A1A0E65C">
      <w:start w:val="1"/>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327E5056"/>
    <w:multiLevelType w:val="hybridMultilevel"/>
    <w:tmpl w:val="541AF994"/>
    <w:lvl w:ilvl="0" w:tplc="2E562170">
      <w:start w:val="1"/>
      <w:numFmt w:val="decimal"/>
      <w:lvlText w:val="%1."/>
      <w:lvlJc w:val="left"/>
      <w:pPr>
        <w:ind w:left="1287" w:hanging="360"/>
      </w:pPr>
      <w:rPr>
        <w:rFonts w:hint="default"/>
        <w:b/>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3" w15:restartNumberingAfterBreak="0">
    <w:nsid w:val="46683651"/>
    <w:multiLevelType w:val="hybridMultilevel"/>
    <w:tmpl w:val="75CA258E"/>
    <w:lvl w:ilvl="0" w:tplc="57BAD8E6">
      <w:start w:val="1"/>
      <w:numFmt w:val="lowerLetter"/>
      <w:lvlText w:val="(%1)"/>
      <w:lvlJc w:val="left"/>
      <w:pPr>
        <w:ind w:left="927" w:hanging="36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4" w15:restartNumberingAfterBreak="0">
    <w:nsid w:val="4F90A7CD"/>
    <w:multiLevelType w:val="hybridMultilevel"/>
    <w:tmpl w:val="E34B90BC"/>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5" w15:restartNumberingAfterBreak="0">
    <w:nsid w:val="62FE0087"/>
    <w:multiLevelType w:val="hybridMultilevel"/>
    <w:tmpl w:val="EA821726"/>
    <w:lvl w:ilvl="0" w:tplc="7A907A72">
      <w:start w:val="1"/>
      <w:numFmt w:val="decimal"/>
      <w:lvlText w:val="%1."/>
      <w:lvlJc w:val="left"/>
      <w:pPr>
        <w:ind w:left="360" w:hanging="360"/>
      </w:pPr>
      <w:rPr>
        <w:rFonts w:hint="default"/>
        <w:b/>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6" w15:restartNumberingAfterBreak="0">
    <w:nsid w:val="699264B1"/>
    <w:multiLevelType w:val="hybridMultilevel"/>
    <w:tmpl w:val="E2B4D942"/>
    <w:lvl w:ilvl="0" w:tplc="65B06688">
      <w:start w:val="1"/>
      <w:numFmt w:val="lowerLetter"/>
      <w:lvlText w:val="(%1)"/>
      <w:lvlJc w:val="left"/>
      <w:pPr>
        <w:ind w:left="1494" w:hanging="360"/>
      </w:pPr>
      <w:rPr>
        <w:rFonts w:hint="default"/>
      </w:rPr>
    </w:lvl>
    <w:lvl w:ilvl="1" w:tplc="08090019" w:tentative="1">
      <w:start w:val="1"/>
      <w:numFmt w:val="lowerLetter"/>
      <w:lvlText w:val="%2."/>
      <w:lvlJc w:val="left"/>
      <w:pPr>
        <w:ind w:left="2214" w:hanging="360"/>
      </w:pPr>
    </w:lvl>
    <w:lvl w:ilvl="2" w:tplc="0809001B" w:tentative="1">
      <w:start w:val="1"/>
      <w:numFmt w:val="lowerRoman"/>
      <w:lvlText w:val="%3."/>
      <w:lvlJc w:val="right"/>
      <w:pPr>
        <w:ind w:left="2934" w:hanging="180"/>
      </w:pPr>
    </w:lvl>
    <w:lvl w:ilvl="3" w:tplc="0809000F" w:tentative="1">
      <w:start w:val="1"/>
      <w:numFmt w:val="decimal"/>
      <w:lvlText w:val="%4."/>
      <w:lvlJc w:val="left"/>
      <w:pPr>
        <w:ind w:left="3654" w:hanging="360"/>
      </w:pPr>
    </w:lvl>
    <w:lvl w:ilvl="4" w:tplc="08090019" w:tentative="1">
      <w:start w:val="1"/>
      <w:numFmt w:val="lowerLetter"/>
      <w:lvlText w:val="%5."/>
      <w:lvlJc w:val="left"/>
      <w:pPr>
        <w:ind w:left="4374" w:hanging="360"/>
      </w:pPr>
    </w:lvl>
    <w:lvl w:ilvl="5" w:tplc="0809001B" w:tentative="1">
      <w:start w:val="1"/>
      <w:numFmt w:val="lowerRoman"/>
      <w:lvlText w:val="%6."/>
      <w:lvlJc w:val="right"/>
      <w:pPr>
        <w:ind w:left="5094" w:hanging="180"/>
      </w:pPr>
    </w:lvl>
    <w:lvl w:ilvl="6" w:tplc="0809000F" w:tentative="1">
      <w:start w:val="1"/>
      <w:numFmt w:val="decimal"/>
      <w:lvlText w:val="%7."/>
      <w:lvlJc w:val="left"/>
      <w:pPr>
        <w:ind w:left="5814" w:hanging="360"/>
      </w:pPr>
    </w:lvl>
    <w:lvl w:ilvl="7" w:tplc="08090019" w:tentative="1">
      <w:start w:val="1"/>
      <w:numFmt w:val="lowerLetter"/>
      <w:lvlText w:val="%8."/>
      <w:lvlJc w:val="left"/>
      <w:pPr>
        <w:ind w:left="6534" w:hanging="360"/>
      </w:pPr>
    </w:lvl>
    <w:lvl w:ilvl="8" w:tplc="0809001B" w:tentative="1">
      <w:start w:val="1"/>
      <w:numFmt w:val="lowerRoman"/>
      <w:lvlText w:val="%9."/>
      <w:lvlJc w:val="right"/>
      <w:pPr>
        <w:ind w:left="7254" w:hanging="180"/>
      </w:pPr>
    </w:lvl>
  </w:abstractNum>
  <w:abstractNum w:abstractNumId="7" w15:restartNumberingAfterBreak="0">
    <w:nsid w:val="775F5915"/>
    <w:multiLevelType w:val="hybridMultilevel"/>
    <w:tmpl w:val="E700B1EE"/>
    <w:lvl w:ilvl="0" w:tplc="790E8A6C">
      <w:start w:val="1"/>
      <w:numFmt w:val="lowerLetter"/>
      <w:lvlText w:val="(%1)"/>
      <w:lvlJc w:val="left"/>
      <w:pPr>
        <w:ind w:left="1246" w:hanging="555"/>
      </w:pPr>
      <w:rPr>
        <w:rFonts w:hint="default"/>
      </w:rPr>
    </w:lvl>
    <w:lvl w:ilvl="1" w:tplc="08090019" w:tentative="1">
      <w:start w:val="1"/>
      <w:numFmt w:val="lowerLetter"/>
      <w:lvlText w:val="%2."/>
      <w:lvlJc w:val="left"/>
      <w:pPr>
        <w:ind w:left="1771" w:hanging="360"/>
      </w:pPr>
    </w:lvl>
    <w:lvl w:ilvl="2" w:tplc="0809001B" w:tentative="1">
      <w:start w:val="1"/>
      <w:numFmt w:val="lowerRoman"/>
      <w:lvlText w:val="%3."/>
      <w:lvlJc w:val="right"/>
      <w:pPr>
        <w:ind w:left="2491" w:hanging="180"/>
      </w:pPr>
    </w:lvl>
    <w:lvl w:ilvl="3" w:tplc="0809000F" w:tentative="1">
      <w:start w:val="1"/>
      <w:numFmt w:val="decimal"/>
      <w:lvlText w:val="%4."/>
      <w:lvlJc w:val="left"/>
      <w:pPr>
        <w:ind w:left="3211" w:hanging="360"/>
      </w:pPr>
    </w:lvl>
    <w:lvl w:ilvl="4" w:tplc="08090019" w:tentative="1">
      <w:start w:val="1"/>
      <w:numFmt w:val="lowerLetter"/>
      <w:lvlText w:val="%5."/>
      <w:lvlJc w:val="left"/>
      <w:pPr>
        <w:ind w:left="3931" w:hanging="360"/>
      </w:pPr>
    </w:lvl>
    <w:lvl w:ilvl="5" w:tplc="0809001B" w:tentative="1">
      <w:start w:val="1"/>
      <w:numFmt w:val="lowerRoman"/>
      <w:lvlText w:val="%6."/>
      <w:lvlJc w:val="right"/>
      <w:pPr>
        <w:ind w:left="4651" w:hanging="180"/>
      </w:pPr>
    </w:lvl>
    <w:lvl w:ilvl="6" w:tplc="0809000F" w:tentative="1">
      <w:start w:val="1"/>
      <w:numFmt w:val="decimal"/>
      <w:lvlText w:val="%7."/>
      <w:lvlJc w:val="left"/>
      <w:pPr>
        <w:ind w:left="5371" w:hanging="360"/>
      </w:pPr>
    </w:lvl>
    <w:lvl w:ilvl="7" w:tplc="08090019" w:tentative="1">
      <w:start w:val="1"/>
      <w:numFmt w:val="lowerLetter"/>
      <w:lvlText w:val="%8."/>
      <w:lvlJc w:val="left"/>
      <w:pPr>
        <w:ind w:left="6091" w:hanging="360"/>
      </w:pPr>
    </w:lvl>
    <w:lvl w:ilvl="8" w:tplc="0809001B" w:tentative="1">
      <w:start w:val="1"/>
      <w:numFmt w:val="lowerRoman"/>
      <w:lvlText w:val="%9."/>
      <w:lvlJc w:val="right"/>
      <w:pPr>
        <w:ind w:left="6811" w:hanging="180"/>
      </w:pPr>
    </w:lvl>
  </w:abstractNum>
  <w:num w:numId="1">
    <w:abstractNumId w:val="0"/>
  </w:num>
  <w:num w:numId="2">
    <w:abstractNumId w:val="7"/>
  </w:num>
  <w:num w:numId="3">
    <w:abstractNumId w:val="1"/>
  </w:num>
  <w:num w:numId="4">
    <w:abstractNumId w:val="5"/>
  </w:num>
  <w:num w:numId="5">
    <w:abstractNumId w:val="2"/>
  </w:num>
  <w:num w:numId="6">
    <w:abstractNumId w:val="6"/>
  </w:num>
  <w:num w:numId="7">
    <w:abstractNumId w:val="3"/>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val="bestFit" w:percent="198"/>
  <w:embedSystemFonts/>
  <w:bordersDoNotSurroundHeader/>
  <w:bordersDoNotSurroundFooter/>
  <w:attachedTemplate r:id="rId1"/>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567"/>
  <w:drawingGridHorizontalSpacing w:val="120"/>
  <w:drawingGridVerticalSpacing w:val="120"/>
  <w:displayHorizontalDrawingGridEvery w:val="0"/>
  <w:displayVerticalDrawingGridEvery w:val="3"/>
  <w:doNotUseMarginsForDrawingGridOrigin/>
  <w:doNotShadeFormData/>
  <w:characterSpacingControl w:val="doNotCompress"/>
  <w:savePreviewPicture/>
  <w:doNotValidateAgainstSchema/>
  <w:doNotDemarcateInvalidXml/>
  <w:hdrShapeDefaults>
    <o:shapedefaults v:ext="edit" spidmax="2049"/>
  </w:hdrShapeDefaults>
  <w:footnotePr>
    <w:footnote w:id="-1"/>
    <w:footnote w:id="0"/>
  </w:footnotePr>
  <w:endnotePr>
    <w:endnote w:id="-1"/>
    <w:endnote w:id="0"/>
  </w:endnotePr>
  <w:compat>
    <w:spaceForUL/>
    <w:doNotLeaveBackslashAlone/>
    <w:ulTrailSpace/>
    <w:doNotExpandShiftReturn/>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247C8"/>
    <w:rsid w:val="00000812"/>
    <w:rsid w:val="00003DCF"/>
    <w:rsid w:val="00004F6B"/>
    <w:rsid w:val="00005EE8"/>
    <w:rsid w:val="00010B81"/>
    <w:rsid w:val="000133A8"/>
    <w:rsid w:val="00021692"/>
    <w:rsid w:val="00023D2F"/>
    <w:rsid w:val="000242FF"/>
    <w:rsid w:val="00024D3E"/>
    <w:rsid w:val="000262EE"/>
    <w:rsid w:val="000342F7"/>
    <w:rsid w:val="00037C82"/>
    <w:rsid w:val="00043DB6"/>
    <w:rsid w:val="00044972"/>
    <w:rsid w:val="00045A94"/>
    <w:rsid w:val="000468C7"/>
    <w:rsid w:val="000520D5"/>
    <w:rsid w:val="00053D75"/>
    <w:rsid w:val="000608EE"/>
    <w:rsid w:val="000614EF"/>
    <w:rsid w:val="000622BB"/>
    <w:rsid w:val="00066DEF"/>
    <w:rsid w:val="0007067C"/>
    <w:rsid w:val="000744EC"/>
    <w:rsid w:val="00074AFC"/>
    <w:rsid w:val="000753C4"/>
    <w:rsid w:val="000757E1"/>
    <w:rsid w:val="00077C38"/>
    <w:rsid w:val="00080C29"/>
    <w:rsid w:val="00080C45"/>
    <w:rsid w:val="000814D8"/>
    <w:rsid w:val="000835C8"/>
    <w:rsid w:val="00084A4D"/>
    <w:rsid w:val="00087B91"/>
    <w:rsid w:val="00092619"/>
    <w:rsid w:val="000A2439"/>
    <w:rsid w:val="000A4D98"/>
    <w:rsid w:val="000A6A13"/>
    <w:rsid w:val="000B4FB6"/>
    <w:rsid w:val="000B54EB"/>
    <w:rsid w:val="000B5509"/>
    <w:rsid w:val="000B60FA"/>
    <w:rsid w:val="000C01AC"/>
    <w:rsid w:val="000C416E"/>
    <w:rsid w:val="000C5263"/>
    <w:rsid w:val="000D011E"/>
    <w:rsid w:val="000D2F5A"/>
    <w:rsid w:val="000D3B3A"/>
    <w:rsid w:val="000E21FC"/>
    <w:rsid w:val="000E427F"/>
    <w:rsid w:val="000E49CB"/>
    <w:rsid w:val="000E5C90"/>
    <w:rsid w:val="000F1E72"/>
    <w:rsid w:val="000F4429"/>
    <w:rsid w:val="000F71FA"/>
    <w:rsid w:val="000F7993"/>
    <w:rsid w:val="001128C3"/>
    <w:rsid w:val="00121135"/>
    <w:rsid w:val="00123188"/>
    <w:rsid w:val="001253E7"/>
    <w:rsid w:val="00133371"/>
    <w:rsid w:val="00142743"/>
    <w:rsid w:val="00143E17"/>
    <w:rsid w:val="001471FB"/>
    <w:rsid w:val="00152AB1"/>
    <w:rsid w:val="00154924"/>
    <w:rsid w:val="001565F4"/>
    <w:rsid w:val="00157469"/>
    <w:rsid w:val="0015761F"/>
    <w:rsid w:val="00161F38"/>
    <w:rsid w:val="001636EC"/>
    <w:rsid w:val="00164718"/>
    <w:rsid w:val="0017615B"/>
    <w:rsid w:val="001761C1"/>
    <w:rsid w:val="0018091F"/>
    <w:rsid w:val="00186652"/>
    <w:rsid w:val="001A3F00"/>
    <w:rsid w:val="001B032A"/>
    <w:rsid w:val="001B0E17"/>
    <w:rsid w:val="001B2C14"/>
    <w:rsid w:val="001B66AB"/>
    <w:rsid w:val="001B76F4"/>
    <w:rsid w:val="001C081C"/>
    <w:rsid w:val="001C1B1A"/>
    <w:rsid w:val="001C3895"/>
    <w:rsid w:val="001C43D3"/>
    <w:rsid w:val="001D22A0"/>
    <w:rsid w:val="001D6485"/>
    <w:rsid w:val="001E2B91"/>
    <w:rsid w:val="001E402E"/>
    <w:rsid w:val="001E42D4"/>
    <w:rsid w:val="001F2A4A"/>
    <w:rsid w:val="001F702E"/>
    <w:rsid w:val="00221C58"/>
    <w:rsid w:val="00227356"/>
    <w:rsid w:val="00233DEB"/>
    <w:rsid w:val="002352A3"/>
    <w:rsid w:val="0023567D"/>
    <w:rsid w:val="002360C2"/>
    <w:rsid w:val="002442E3"/>
    <w:rsid w:val="00255B09"/>
    <w:rsid w:val="00255CF2"/>
    <w:rsid w:val="00261EC4"/>
    <w:rsid w:val="0026436F"/>
    <w:rsid w:val="00265308"/>
    <w:rsid w:val="002655B6"/>
    <w:rsid w:val="00275EF6"/>
    <w:rsid w:val="00277A81"/>
    <w:rsid w:val="00280DCD"/>
    <w:rsid w:val="002831B8"/>
    <w:rsid w:val="00285DF8"/>
    <w:rsid w:val="00286A4D"/>
    <w:rsid w:val="00286E57"/>
    <w:rsid w:val="00290566"/>
    <w:rsid w:val="002907F0"/>
    <w:rsid w:val="002964E7"/>
    <w:rsid w:val="002A044B"/>
    <w:rsid w:val="002A4499"/>
    <w:rsid w:val="002A6CF2"/>
    <w:rsid w:val="002B4E1F"/>
    <w:rsid w:val="002D0DC1"/>
    <w:rsid w:val="002D1D4C"/>
    <w:rsid w:val="002D405E"/>
    <w:rsid w:val="002D4ED3"/>
    <w:rsid w:val="002E3094"/>
    <w:rsid w:val="002E3521"/>
    <w:rsid w:val="002E35ED"/>
    <w:rsid w:val="002F4347"/>
    <w:rsid w:val="002F5273"/>
    <w:rsid w:val="00304858"/>
    <w:rsid w:val="00312523"/>
    <w:rsid w:val="00320BC8"/>
    <w:rsid w:val="0032149E"/>
    <w:rsid w:val="00326D8F"/>
    <w:rsid w:val="00330E75"/>
    <w:rsid w:val="00331329"/>
    <w:rsid w:val="00332A15"/>
    <w:rsid w:val="00336B1F"/>
    <w:rsid w:val="003407C1"/>
    <w:rsid w:val="00342579"/>
    <w:rsid w:val="00344164"/>
    <w:rsid w:val="003449A3"/>
    <w:rsid w:val="0035589F"/>
    <w:rsid w:val="00363299"/>
    <w:rsid w:val="00363E94"/>
    <w:rsid w:val="00366718"/>
    <w:rsid w:val="0037208D"/>
    <w:rsid w:val="00373F56"/>
    <w:rsid w:val="003778DA"/>
    <w:rsid w:val="00377FBD"/>
    <w:rsid w:val="00380973"/>
    <w:rsid w:val="00382133"/>
    <w:rsid w:val="003837C6"/>
    <w:rsid w:val="00384EC1"/>
    <w:rsid w:val="00387C99"/>
    <w:rsid w:val="003942CB"/>
    <w:rsid w:val="00394930"/>
    <w:rsid w:val="00394B3B"/>
    <w:rsid w:val="003A5DAC"/>
    <w:rsid w:val="003B0F94"/>
    <w:rsid w:val="003B39C8"/>
    <w:rsid w:val="003B440D"/>
    <w:rsid w:val="003B6581"/>
    <w:rsid w:val="003C37A0"/>
    <w:rsid w:val="003C5F5A"/>
    <w:rsid w:val="003C5FB5"/>
    <w:rsid w:val="003C7232"/>
    <w:rsid w:val="003D233B"/>
    <w:rsid w:val="003D49C4"/>
    <w:rsid w:val="003D4EAA"/>
    <w:rsid w:val="003D76EF"/>
    <w:rsid w:val="003E2DE5"/>
    <w:rsid w:val="003E6206"/>
    <w:rsid w:val="003E76D6"/>
    <w:rsid w:val="003E78C1"/>
    <w:rsid w:val="003F414F"/>
    <w:rsid w:val="003F6D96"/>
    <w:rsid w:val="00401FBB"/>
    <w:rsid w:val="00406360"/>
    <w:rsid w:val="004065FD"/>
    <w:rsid w:val="00416A53"/>
    <w:rsid w:val="00416DA6"/>
    <w:rsid w:val="00422C75"/>
    <w:rsid w:val="00424C03"/>
    <w:rsid w:val="00426221"/>
    <w:rsid w:val="00430593"/>
    <w:rsid w:val="004347BA"/>
    <w:rsid w:val="00443021"/>
    <w:rsid w:val="0044500A"/>
    <w:rsid w:val="00447229"/>
    <w:rsid w:val="00453046"/>
    <w:rsid w:val="00453682"/>
    <w:rsid w:val="0045465C"/>
    <w:rsid w:val="00456986"/>
    <w:rsid w:val="004648DA"/>
    <w:rsid w:val="00466077"/>
    <w:rsid w:val="00471EFC"/>
    <w:rsid w:val="00474D22"/>
    <w:rsid w:val="00481E77"/>
    <w:rsid w:val="00490D21"/>
    <w:rsid w:val="00491FC6"/>
    <w:rsid w:val="004920DB"/>
    <w:rsid w:val="00494F0F"/>
    <w:rsid w:val="0049507E"/>
    <w:rsid w:val="004A01D1"/>
    <w:rsid w:val="004A0EA5"/>
    <w:rsid w:val="004B13C6"/>
    <w:rsid w:val="004B5A3C"/>
    <w:rsid w:val="004B5F9E"/>
    <w:rsid w:val="004B7846"/>
    <w:rsid w:val="004C1DA0"/>
    <w:rsid w:val="004C3DFE"/>
    <w:rsid w:val="004D0854"/>
    <w:rsid w:val="004D2FFC"/>
    <w:rsid w:val="004D67C8"/>
    <w:rsid w:val="004E25F1"/>
    <w:rsid w:val="004E4868"/>
    <w:rsid w:val="004E5244"/>
    <w:rsid w:val="004F0719"/>
    <w:rsid w:val="004F7202"/>
    <w:rsid w:val="004F72F4"/>
    <w:rsid w:val="00501CAB"/>
    <w:rsid w:val="00503297"/>
    <w:rsid w:val="00503BDD"/>
    <w:rsid w:val="005101FF"/>
    <w:rsid w:val="00512242"/>
    <w:rsid w:val="00512DA3"/>
    <w:rsid w:val="00514000"/>
    <w:rsid w:val="00515D04"/>
    <w:rsid w:val="00524ECC"/>
    <w:rsid w:val="00527973"/>
    <w:rsid w:val="00527ABE"/>
    <w:rsid w:val="00532451"/>
    <w:rsid w:val="00532DD1"/>
    <w:rsid w:val="005334A1"/>
    <w:rsid w:val="00542D73"/>
    <w:rsid w:val="0055440A"/>
    <w:rsid w:val="005576AF"/>
    <w:rsid w:val="0056066A"/>
    <w:rsid w:val="00562923"/>
    <w:rsid w:val="005646F3"/>
    <w:rsid w:val="00572B50"/>
    <w:rsid w:val="00574AEC"/>
    <w:rsid w:val="00577B02"/>
    <w:rsid w:val="00580EC5"/>
    <w:rsid w:val="00582A2E"/>
    <w:rsid w:val="0058749F"/>
    <w:rsid w:val="005955EA"/>
    <w:rsid w:val="00597B78"/>
    <w:rsid w:val="005A2789"/>
    <w:rsid w:val="005B235E"/>
    <w:rsid w:val="005B23AF"/>
    <w:rsid w:val="005B55E4"/>
    <w:rsid w:val="005B598C"/>
    <w:rsid w:val="005C25CF"/>
    <w:rsid w:val="005C303C"/>
    <w:rsid w:val="005C7F82"/>
    <w:rsid w:val="005D0866"/>
    <w:rsid w:val="005D1728"/>
    <w:rsid w:val="005D537D"/>
    <w:rsid w:val="005D5637"/>
    <w:rsid w:val="005D5858"/>
    <w:rsid w:val="005D5C82"/>
    <w:rsid w:val="005D5CAF"/>
    <w:rsid w:val="005D7980"/>
    <w:rsid w:val="005E0DE1"/>
    <w:rsid w:val="005E20D0"/>
    <w:rsid w:val="005E75FD"/>
    <w:rsid w:val="005F28C6"/>
    <w:rsid w:val="00601274"/>
    <w:rsid w:val="00604AAC"/>
    <w:rsid w:val="006055D5"/>
    <w:rsid w:val="00607964"/>
    <w:rsid w:val="00613086"/>
    <w:rsid w:val="0062075A"/>
    <w:rsid w:val="006271AA"/>
    <w:rsid w:val="00627729"/>
    <w:rsid w:val="006335C5"/>
    <w:rsid w:val="00634069"/>
    <w:rsid w:val="00634DA7"/>
    <w:rsid w:val="006350C4"/>
    <w:rsid w:val="00636D28"/>
    <w:rsid w:val="00642844"/>
    <w:rsid w:val="0064409B"/>
    <w:rsid w:val="00645C44"/>
    <w:rsid w:val="00646C28"/>
    <w:rsid w:val="00651EA5"/>
    <w:rsid w:val="006561A1"/>
    <w:rsid w:val="0065745C"/>
    <w:rsid w:val="00660511"/>
    <w:rsid w:val="006704C7"/>
    <w:rsid w:val="00672978"/>
    <w:rsid w:val="006737D3"/>
    <w:rsid w:val="0067435B"/>
    <w:rsid w:val="0067609F"/>
    <w:rsid w:val="00686650"/>
    <w:rsid w:val="00687058"/>
    <w:rsid w:val="00694677"/>
    <w:rsid w:val="006956CE"/>
    <w:rsid w:val="00697FAC"/>
    <w:rsid w:val="006A03A3"/>
    <w:rsid w:val="006A0A6F"/>
    <w:rsid w:val="006A11C3"/>
    <w:rsid w:val="006A6EA7"/>
    <w:rsid w:val="006A74BC"/>
    <w:rsid w:val="006B0358"/>
    <w:rsid w:val="006B503F"/>
    <w:rsid w:val="006B64A8"/>
    <w:rsid w:val="006C24CB"/>
    <w:rsid w:val="006C6020"/>
    <w:rsid w:val="006D0225"/>
    <w:rsid w:val="006D1681"/>
    <w:rsid w:val="006D2E1F"/>
    <w:rsid w:val="006D6B7F"/>
    <w:rsid w:val="006E3C85"/>
    <w:rsid w:val="006E5B3F"/>
    <w:rsid w:val="006F175C"/>
    <w:rsid w:val="006F594C"/>
    <w:rsid w:val="006F7F2A"/>
    <w:rsid w:val="00701118"/>
    <w:rsid w:val="00704C6B"/>
    <w:rsid w:val="00705BD4"/>
    <w:rsid w:val="00706159"/>
    <w:rsid w:val="007107EE"/>
    <w:rsid w:val="00710BFF"/>
    <w:rsid w:val="00714BA2"/>
    <w:rsid w:val="007151B2"/>
    <w:rsid w:val="007166C4"/>
    <w:rsid w:val="007211A4"/>
    <w:rsid w:val="007247C8"/>
    <w:rsid w:val="00726D6D"/>
    <w:rsid w:val="00727E48"/>
    <w:rsid w:val="00732D8B"/>
    <w:rsid w:val="00737805"/>
    <w:rsid w:val="007405F6"/>
    <w:rsid w:val="00740FDE"/>
    <w:rsid w:val="00746B11"/>
    <w:rsid w:val="007472C3"/>
    <w:rsid w:val="0075097C"/>
    <w:rsid w:val="00752131"/>
    <w:rsid w:val="007556BC"/>
    <w:rsid w:val="00760524"/>
    <w:rsid w:val="00760B40"/>
    <w:rsid w:val="00772C52"/>
    <w:rsid w:val="007826D3"/>
    <w:rsid w:val="00787493"/>
    <w:rsid w:val="00793315"/>
    <w:rsid w:val="00794D4F"/>
    <w:rsid w:val="007A0311"/>
    <w:rsid w:val="007A4003"/>
    <w:rsid w:val="007A5F9C"/>
    <w:rsid w:val="007B5868"/>
    <w:rsid w:val="007C01FC"/>
    <w:rsid w:val="007C07CE"/>
    <w:rsid w:val="007C145A"/>
    <w:rsid w:val="007C2592"/>
    <w:rsid w:val="007C276C"/>
    <w:rsid w:val="007D4551"/>
    <w:rsid w:val="007D662E"/>
    <w:rsid w:val="007E1918"/>
    <w:rsid w:val="007E2B35"/>
    <w:rsid w:val="007E30CA"/>
    <w:rsid w:val="007E390D"/>
    <w:rsid w:val="007E461E"/>
    <w:rsid w:val="007E4620"/>
    <w:rsid w:val="007E4FEC"/>
    <w:rsid w:val="007E5CEF"/>
    <w:rsid w:val="007F010C"/>
    <w:rsid w:val="007F1473"/>
    <w:rsid w:val="007F365E"/>
    <w:rsid w:val="007F45A7"/>
    <w:rsid w:val="00800A2F"/>
    <w:rsid w:val="00804C8F"/>
    <w:rsid w:val="00805DC0"/>
    <w:rsid w:val="00806ACE"/>
    <w:rsid w:val="00807638"/>
    <w:rsid w:val="00825C43"/>
    <w:rsid w:val="0083145E"/>
    <w:rsid w:val="008351B0"/>
    <w:rsid w:val="00837182"/>
    <w:rsid w:val="0084023E"/>
    <w:rsid w:val="0084469D"/>
    <w:rsid w:val="00844B2D"/>
    <w:rsid w:val="008539D6"/>
    <w:rsid w:val="008547F2"/>
    <w:rsid w:val="008604B2"/>
    <w:rsid w:val="00861DFE"/>
    <w:rsid w:val="00862825"/>
    <w:rsid w:val="008679BD"/>
    <w:rsid w:val="00867F1A"/>
    <w:rsid w:val="00874F6F"/>
    <w:rsid w:val="00875062"/>
    <w:rsid w:val="008754D1"/>
    <w:rsid w:val="0087687F"/>
    <w:rsid w:val="00881FA3"/>
    <w:rsid w:val="008825BB"/>
    <w:rsid w:val="00886238"/>
    <w:rsid w:val="00887498"/>
    <w:rsid w:val="00892211"/>
    <w:rsid w:val="008938F7"/>
    <w:rsid w:val="008956EA"/>
    <w:rsid w:val="008972AF"/>
    <w:rsid w:val="008A053C"/>
    <w:rsid w:val="008A523D"/>
    <w:rsid w:val="008A6BB2"/>
    <w:rsid w:val="008A788F"/>
    <w:rsid w:val="008B289E"/>
    <w:rsid w:val="008B3137"/>
    <w:rsid w:val="008B568D"/>
    <w:rsid w:val="008B5FE3"/>
    <w:rsid w:val="008C2C1A"/>
    <w:rsid w:val="008D3142"/>
    <w:rsid w:val="008D761E"/>
    <w:rsid w:val="008D7F66"/>
    <w:rsid w:val="008F0C27"/>
    <w:rsid w:val="00901BEF"/>
    <w:rsid w:val="009026ED"/>
    <w:rsid w:val="009055B3"/>
    <w:rsid w:val="00905B0F"/>
    <w:rsid w:val="00906749"/>
    <w:rsid w:val="00907693"/>
    <w:rsid w:val="00912BA6"/>
    <w:rsid w:val="00914263"/>
    <w:rsid w:val="00920037"/>
    <w:rsid w:val="009202D3"/>
    <w:rsid w:val="00922786"/>
    <w:rsid w:val="009279BD"/>
    <w:rsid w:val="009305BB"/>
    <w:rsid w:val="00931C98"/>
    <w:rsid w:val="0093242F"/>
    <w:rsid w:val="0093274C"/>
    <w:rsid w:val="00933C53"/>
    <w:rsid w:val="0094070B"/>
    <w:rsid w:val="00940A34"/>
    <w:rsid w:val="009411EA"/>
    <w:rsid w:val="0094272F"/>
    <w:rsid w:val="009532C3"/>
    <w:rsid w:val="00961AC0"/>
    <w:rsid w:val="00963D1F"/>
    <w:rsid w:val="0096484B"/>
    <w:rsid w:val="00965D02"/>
    <w:rsid w:val="009674A5"/>
    <w:rsid w:val="0096788C"/>
    <w:rsid w:val="0097618B"/>
    <w:rsid w:val="009774F9"/>
    <w:rsid w:val="009830C2"/>
    <w:rsid w:val="0099219B"/>
    <w:rsid w:val="00993997"/>
    <w:rsid w:val="009968F2"/>
    <w:rsid w:val="009A08C5"/>
    <w:rsid w:val="009A393E"/>
    <w:rsid w:val="009A73DE"/>
    <w:rsid w:val="009B0ADE"/>
    <w:rsid w:val="009B0E42"/>
    <w:rsid w:val="009D3167"/>
    <w:rsid w:val="009D3443"/>
    <w:rsid w:val="009D3DBD"/>
    <w:rsid w:val="009E66C3"/>
    <w:rsid w:val="009E79BE"/>
    <w:rsid w:val="009F0F2B"/>
    <w:rsid w:val="009F33C9"/>
    <w:rsid w:val="009F4A96"/>
    <w:rsid w:val="009F7600"/>
    <w:rsid w:val="00A03365"/>
    <w:rsid w:val="00A07371"/>
    <w:rsid w:val="00A07879"/>
    <w:rsid w:val="00A14182"/>
    <w:rsid w:val="00A1474E"/>
    <w:rsid w:val="00A1618E"/>
    <w:rsid w:val="00A23E01"/>
    <w:rsid w:val="00A24135"/>
    <w:rsid w:val="00A25C8D"/>
    <w:rsid w:val="00A41A02"/>
    <w:rsid w:val="00A42CCA"/>
    <w:rsid w:val="00A50D6A"/>
    <w:rsid w:val="00A60798"/>
    <w:rsid w:val="00A60BC7"/>
    <w:rsid w:val="00A62552"/>
    <w:rsid w:val="00A65C80"/>
    <w:rsid w:val="00A7060B"/>
    <w:rsid w:val="00A70FA1"/>
    <w:rsid w:val="00A80583"/>
    <w:rsid w:val="00A844AC"/>
    <w:rsid w:val="00A927B8"/>
    <w:rsid w:val="00A92C42"/>
    <w:rsid w:val="00A96B49"/>
    <w:rsid w:val="00A96D72"/>
    <w:rsid w:val="00AA0195"/>
    <w:rsid w:val="00AA24D4"/>
    <w:rsid w:val="00AA41AD"/>
    <w:rsid w:val="00AB3AEC"/>
    <w:rsid w:val="00AB4E72"/>
    <w:rsid w:val="00AB5B30"/>
    <w:rsid w:val="00AC0484"/>
    <w:rsid w:val="00AC2203"/>
    <w:rsid w:val="00AC2903"/>
    <w:rsid w:val="00AC48A2"/>
    <w:rsid w:val="00AC4FD6"/>
    <w:rsid w:val="00AC571E"/>
    <w:rsid w:val="00AC5FA1"/>
    <w:rsid w:val="00AC6E44"/>
    <w:rsid w:val="00AC710C"/>
    <w:rsid w:val="00AD2FDB"/>
    <w:rsid w:val="00AE2D5B"/>
    <w:rsid w:val="00AE6B19"/>
    <w:rsid w:val="00AF041B"/>
    <w:rsid w:val="00AF43EC"/>
    <w:rsid w:val="00AF4B41"/>
    <w:rsid w:val="00AF5241"/>
    <w:rsid w:val="00B029A1"/>
    <w:rsid w:val="00B05653"/>
    <w:rsid w:val="00B13906"/>
    <w:rsid w:val="00B13A25"/>
    <w:rsid w:val="00B15262"/>
    <w:rsid w:val="00B173DC"/>
    <w:rsid w:val="00B2275A"/>
    <w:rsid w:val="00B23CAE"/>
    <w:rsid w:val="00B26C33"/>
    <w:rsid w:val="00B34C80"/>
    <w:rsid w:val="00B4106D"/>
    <w:rsid w:val="00B44C4A"/>
    <w:rsid w:val="00B47524"/>
    <w:rsid w:val="00B55602"/>
    <w:rsid w:val="00B61E7F"/>
    <w:rsid w:val="00B62320"/>
    <w:rsid w:val="00B66E4C"/>
    <w:rsid w:val="00B701AE"/>
    <w:rsid w:val="00B74BEC"/>
    <w:rsid w:val="00B8798B"/>
    <w:rsid w:val="00B87FDA"/>
    <w:rsid w:val="00B90661"/>
    <w:rsid w:val="00B91190"/>
    <w:rsid w:val="00B91578"/>
    <w:rsid w:val="00B91EF6"/>
    <w:rsid w:val="00B94F2F"/>
    <w:rsid w:val="00BA3A93"/>
    <w:rsid w:val="00BA6B35"/>
    <w:rsid w:val="00BC3E37"/>
    <w:rsid w:val="00BC697F"/>
    <w:rsid w:val="00BC76E3"/>
    <w:rsid w:val="00BD4143"/>
    <w:rsid w:val="00BD5386"/>
    <w:rsid w:val="00BE17CD"/>
    <w:rsid w:val="00BE1E9C"/>
    <w:rsid w:val="00BE2F23"/>
    <w:rsid w:val="00BE6884"/>
    <w:rsid w:val="00BE7044"/>
    <w:rsid w:val="00BE7D34"/>
    <w:rsid w:val="00BF0042"/>
    <w:rsid w:val="00BF06FA"/>
    <w:rsid w:val="00BF0967"/>
    <w:rsid w:val="00BF5270"/>
    <w:rsid w:val="00BF7B23"/>
    <w:rsid w:val="00C020A0"/>
    <w:rsid w:val="00C0491E"/>
    <w:rsid w:val="00C07D1F"/>
    <w:rsid w:val="00C12F2A"/>
    <w:rsid w:val="00C214F2"/>
    <w:rsid w:val="00C21F71"/>
    <w:rsid w:val="00C2525F"/>
    <w:rsid w:val="00C27873"/>
    <w:rsid w:val="00C30331"/>
    <w:rsid w:val="00C332FE"/>
    <w:rsid w:val="00C35013"/>
    <w:rsid w:val="00C43A72"/>
    <w:rsid w:val="00C458E6"/>
    <w:rsid w:val="00C700C6"/>
    <w:rsid w:val="00C7140A"/>
    <w:rsid w:val="00C74183"/>
    <w:rsid w:val="00C74CDA"/>
    <w:rsid w:val="00C778D1"/>
    <w:rsid w:val="00C77C38"/>
    <w:rsid w:val="00C80F18"/>
    <w:rsid w:val="00C8197C"/>
    <w:rsid w:val="00C82530"/>
    <w:rsid w:val="00C863E3"/>
    <w:rsid w:val="00CA1AEE"/>
    <w:rsid w:val="00CA242D"/>
    <w:rsid w:val="00CA6418"/>
    <w:rsid w:val="00CA67D0"/>
    <w:rsid w:val="00CA69A3"/>
    <w:rsid w:val="00CB0579"/>
    <w:rsid w:val="00CB2BFD"/>
    <w:rsid w:val="00CB583B"/>
    <w:rsid w:val="00CB68BA"/>
    <w:rsid w:val="00CB6BDD"/>
    <w:rsid w:val="00CC2809"/>
    <w:rsid w:val="00CC767B"/>
    <w:rsid w:val="00CD68CE"/>
    <w:rsid w:val="00CE6415"/>
    <w:rsid w:val="00CE6A09"/>
    <w:rsid w:val="00CE7759"/>
    <w:rsid w:val="00CF1986"/>
    <w:rsid w:val="00D021A1"/>
    <w:rsid w:val="00D116B8"/>
    <w:rsid w:val="00D17C4F"/>
    <w:rsid w:val="00D23821"/>
    <w:rsid w:val="00D263A2"/>
    <w:rsid w:val="00D265F9"/>
    <w:rsid w:val="00D31166"/>
    <w:rsid w:val="00D400F5"/>
    <w:rsid w:val="00D4098B"/>
    <w:rsid w:val="00D43726"/>
    <w:rsid w:val="00D45D02"/>
    <w:rsid w:val="00D51089"/>
    <w:rsid w:val="00D574A4"/>
    <w:rsid w:val="00D63698"/>
    <w:rsid w:val="00D6609A"/>
    <w:rsid w:val="00D67AA3"/>
    <w:rsid w:val="00D7760C"/>
    <w:rsid w:val="00D85E3A"/>
    <w:rsid w:val="00D94444"/>
    <w:rsid w:val="00D9603B"/>
    <w:rsid w:val="00DA3240"/>
    <w:rsid w:val="00DA468F"/>
    <w:rsid w:val="00DA5C40"/>
    <w:rsid w:val="00DB60E4"/>
    <w:rsid w:val="00DC6273"/>
    <w:rsid w:val="00DC6485"/>
    <w:rsid w:val="00DC7EE1"/>
    <w:rsid w:val="00DD0E75"/>
    <w:rsid w:val="00DD2076"/>
    <w:rsid w:val="00DE1053"/>
    <w:rsid w:val="00DE24EE"/>
    <w:rsid w:val="00DE4054"/>
    <w:rsid w:val="00DE6EB8"/>
    <w:rsid w:val="00DF0566"/>
    <w:rsid w:val="00E0318D"/>
    <w:rsid w:val="00E0419C"/>
    <w:rsid w:val="00E04F02"/>
    <w:rsid w:val="00E15A96"/>
    <w:rsid w:val="00E21488"/>
    <w:rsid w:val="00E263B2"/>
    <w:rsid w:val="00E31562"/>
    <w:rsid w:val="00E31801"/>
    <w:rsid w:val="00E329A5"/>
    <w:rsid w:val="00E33916"/>
    <w:rsid w:val="00E3577D"/>
    <w:rsid w:val="00E52436"/>
    <w:rsid w:val="00E54592"/>
    <w:rsid w:val="00E55495"/>
    <w:rsid w:val="00E55D9D"/>
    <w:rsid w:val="00E57A03"/>
    <w:rsid w:val="00E612E3"/>
    <w:rsid w:val="00E70091"/>
    <w:rsid w:val="00E70AA9"/>
    <w:rsid w:val="00E72110"/>
    <w:rsid w:val="00E724E8"/>
    <w:rsid w:val="00E7662E"/>
    <w:rsid w:val="00E77968"/>
    <w:rsid w:val="00E837B9"/>
    <w:rsid w:val="00E84BD2"/>
    <w:rsid w:val="00E84C22"/>
    <w:rsid w:val="00E85219"/>
    <w:rsid w:val="00E93545"/>
    <w:rsid w:val="00E93CB2"/>
    <w:rsid w:val="00E96A80"/>
    <w:rsid w:val="00EA0FA8"/>
    <w:rsid w:val="00EA3CEA"/>
    <w:rsid w:val="00EA69FF"/>
    <w:rsid w:val="00EB000A"/>
    <w:rsid w:val="00EB1BBB"/>
    <w:rsid w:val="00EB67E8"/>
    <w:rsid w:val="00EB7298"/>
    <w:rsid w:val="00EC1010"/>
    <w:rsid w:val="00EC1446"/>
    <w:rsid w:val="00EC2E2E"/>
    <w:rsid w:val="00ED0F60"/>
    <w:rsid w:val="00ED270B"/>
    <w:rsid w:val="00ED6011"/>
    <w:rsid w:val="00ED6F8F"/>
    <w:rsid w:val="00EE2247"/>
    <w:rsid w:val="00EE2CEA"/>
    <w:rsid w:val="00EE64B7"/>
    <w:rsid w:val="00EF2826"/>
    <w:rsid w:val="00EF3E7B"/>
    <w:rsid w:val="00F019BB"/>
    <w:rsid w:val="00F045FC"/>
    <w:rsid w:val="00F057A4"/>
    <w:rsid w:val="00F1418D"/>
    <w:rsid w:val="00F22B1C"/>
    <w:rsid w:val="00F23EB1"/>
    <w:rsid w:val="00F2620B"/>
    <w:rsid w:val="00F26626"/>
    <w:rsid w:val="00F37578"/>
    <w:rsid w:val="00F46993"/>
    <w:rsid w:val="00F52BC9"/>
    <w:rsid w:val="00F52C8E"/>
    <w:rsid w:val="00F56938"/>
    <w:rsid w:val="00F63D12"/>
    <w:rsid w:val="00F67230"/>
    <w:rsid w:val="00F83D13"/>
    <w:rsid w:val="00F84D66"/>
    <w:rsid w:val="00F870B9"/>
    <w:rsid w:val="00F9429A"/>
    <w:rsid w:val="00F969A2"/>
    <w:rsid w:val="00FA450D"/>
    <w:rsid w:val="00FA6D09"/>
    <w:rsid w:val="00FB2064"/>
    <w:rsid w:val="00FB3005"/>
    <w:rsid w:val="00FB375A"/>
    <w:rsid w:val="00FB414A"/>
    <w:rsid w:val="00FB4CB8"/>
    <w:rsid w:val="00FB681A"/>
    <w:rsid w:val="00FC168F"/>
    <w:rsid w:val="00FC1CA9"/>
    <w:rsid w:val="00FC25AF"/>
    <w:rsid w:val="00FC2B86"/>
    <w:rsid w:val="00FC33A9"/>
    <w:rsid w:val="00FD3B7A"/>
    <w:rsid w:val="00FD3B80"/>
    <w:rsid w:val="00FD54D1"/>
    <w:rsid w:val="00FE030C"/>
    <w:rsid w:val="00FE139B"/>
    <w:rsid w:val="00FE2A3C"/>
    <w:rsid w:val="00FE2F5B"/>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5:docId w15:val="{9452DEB2-E4BF-4399-9743-6056A32781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GB"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aliases w:val="Stat Normal"/>
    <w:qFormat/>
    <w:rsid w:val="00ED270B"/>
    <w:pPr>
      <w:spacing w:after="0" w:line="240" w:lineRule="auto"/>
    </w:pPr>
    <w:rPr>
      <w:rFonts w:ascii="Times New Roman" w:hAnsi="Times New Roman"/>
      <w:noProo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7151B2"/>
    <w:pPr>
      <w:tabs>
        <w:tab w:val="center" w:pos="4513"/>
        <w:tab w:val="right" w:pos="9026"/>
      </w:tabs>
    </w:pPr>
  </w:style>
  <w:style w:type="character" w:customStyle="1" w:styleId="FooterChar">
    <w:name w:val="Footer Char"/>
    <w:basedOn w:val="DefaultParagraphFont"/>
    <w:link w:val="Footer"/>
    <w:uiPriority w:val="99"/>
    <w:rsid w:val="007151B2"/>
    <w:rPr>
      <w:rFonts w:ascii="Times New Roman" w:hAnsi="Times New Roman"/>
      <w:noProof/>
    </w:rPr>
  </w:style>
  <w:style w:type="paragraph" w:styleId="Header">
    <w:name w:val="header"/>
    <w:basedOn w:val="Normal"/>
    <w:link w:val="HeaderChar"/>
    <w:uiPriority w:val="99"/>
    <w:unhideWhenUsed/>
    <w:rsid w:val="007151B2"/>
    <w:pPr>
      <w:tabs>
        <w:tab w:val="center" w:pos="4513"/>
        <w:tab w:val="right" w:pos="9026"/>
      </w:tabs>
    </w:pPr>
  </w:style>
  <w:style w:type="character" w:customStyle="1" w:styleId="HeaderChar">
    <w:name w:val="Header Char"/>
    <w:basedOn w:val="DefaultParagraphFont"/>
    <w:link w:val="Header"/>
    <w:uiPriority w:val="99"/>
    <w:rsid w:val="007151B2"/>
    <w:rPr>
      <w:rFonts w:ascii="Times New Roman" w:hAnsi="Times New Roman"/>
      <w:noProof/>
    </w:rPr>
  </w:style>
  <w:style w:type="paragraph" w:styleId="BalloonText">
    <w:name w:val="Balloon Text"/>
    <w:basedOn w:val="Normal"/>
    <w:link w:val="BalloonTextChar"/>
    <w:uiPriority w:val="99"/>
    <w:semiHidden/>
    <w:unhideWhenUsed/>
    <w:rsid w:val="007151B2"/>
    <w:rPr>
      <w:rFonts w:ascii="Tahoma" w:hAnsi="Tahoma" w:cs="Tahoma"/>
      <w:sz w:val="16"/>
      <w:szCs w:val="16"/>
    </w:rPr>
  </w:style>
  <w:style w:type="character" w:customStyle="1" w:styleId="BalloonTextChar">
    <w:name w:val="Balloon Text Char"/>
    <w:basedOn w:val="DefaultParagraphFont"/>
    <w:link w:val="BalloonText"/>
    <w:uiPriority w:val="99"/>
    <w:semiHidden/>
    <w:rsid w:val="007151B2"/>
    <w:rPr>
      <w:rFonts w:ascii="Tahoma" w:hAnsi="Tahoma" w:cs="Tahoma"/>
      <w:noProof/>
      <w:sz w:val="16"/>
      <w:szCs w:val="16"/>
    </w:rPr>
  </w:style>
  <w:style w:type="paragraph" w:customStyle="1" w:styleId="AS-H3A">
    <w:name w:val="AS-H3A"/>
    <w:basedOn w:val="Normal"/>
    <w:link w:val="AS-H3AChar"/>
    <w:autoRedefine/>
    <w:qFormat/>
    <w:rsid w:val="007151B2"/>
    <w:pPr>
      <w:autoSpaceDE w:val="0"/>
      <w:autoSpaceDN w:val="0"/>
      <w:adjustRightInd w:val="0"/>
      <w:jc w:val="center"/>
    </w:pPr>
    <w:rPr>
      <w:rFonts w:cs="Times New Roman"/>
      <w:caps/>
    </w:rPr>
  </w:style>
  <w:style w:type="paragraph" w:styleId="ListBullet">
    <w:name w:val="List Bullet"/>
    <w:basedOn w:val="Normal"/>
    <w:uiPriority w:val="99"/>
    <w:unhideWhenUsed/>
    <w:rsid w:val="007151B2"/>
    <w:pPr>
      <w:numPr>
        <w:numId w:val="1"/>
      </w:numPr>
      <w:contextualSpacing/>
    </w:pPr>
  </w:style>
  <w:style w:type="character" w:customStyle="1" w:styleId="AS-H3AChar">
    <w:name w:val="AS-H3A Char"/>
    <w:basedOn w:val="DefaultParagraphFont"/>
    <w:link w:val="AS-H3A"/>
    <w:rsid w:val="007151B2"/>
    <w:rPr>
      <w:rFonts w:ascii="Times New Roman" w:hAnsi="Times New Roman" w:cs="Times New Roman"/>
      <w:caps/>
      <w:noProof/>
    </w:rPr>
  </w:style>
  <w:style w:type="character" w:customStyle="1" w:styleId="A3">
    <w:name w:val="A3"/>
    <w:uiPriority w:val="99"/>
    <w:rsid w:val="007151B2"/>
    <w:rPr>
      <w:rFonts w:cs="Times"/>
      <w:color w:val="000000"/>
      <w:sz w:val="22"/>
      <w:szCs w:val="22"/>
    </w:rPr>
  </w:style>
  <w:style w:type="paragraph" w:customStyle="1" w:styleId="Head2B">
    <w:name w:val="Head 2B"/>
    <w:basedOn w:val="AS-H3A"/>
    <w:link w:val="Head2BChar"/>
    <w:rsid w:val="007151B2"/>
  </w:style>
  <w:style w:type="paragraph" w:styleId="ListParagraph">
    <w:name w:val="List Paragraph"/>
    <w:basedOn w:val="Normal"/>
    <w:link w:val="ListParagraphChar"/>
    <w:uiPriority w:val="34"/>
    <w:qFormat/>
    <w:rsid w:val="007151B2"/>
    <w:pPr>
      <w:ind w:left="720"/>
      <w:contextualSpacing/>
    </w:pPr>
  </w:style>
  <w:style w:type="character" w:customStyle="1" w:styleId="Head2BChar">
    <w:name w:val="Head 2B Char"/>
    <w:basedOn w:val="AS-H3AChar"/>
    <w:link w:val="Head2B"/>
    <w:rsid w:val="007151B2"/>
    <w:rPr>
      <w:rFonts w:ascii="Times New Roman" w:hAnsi="Times New Roman" w:cs="Times New Roman"/>
      <w:caps/>
      <w:noProof/>
    </w:rPr>
  </w:style>
  <w:style w:type="paragraph" w:customStyle="1" w:styleId="Head3">
    <w:name w:val="Head 3"/>
    <w:basedOn w:val="ListParagraph"/>
    <w:link w:val="Head3Char"/>
    <w:rsid w:val="007151B2"/>
    <w:pPr>
      <w:suppressAutoHyphens/>
      <w:ind w:left="0"/>
      <w:jc w:val="both"/>
    </w:pPr>
    <w:rPr>
      <w:rFonts w:eastAsia="Times New Roman" w:cs="Times New Roman"/>
      <w:b/>
      <w:bCs/>
    </w:rPr>
  </w:style>
  <w:style w:type="character" w:customStyle="1" w:styleId="ListParagraphChar">
    <w:name w:val="List Paragraph Char"/>
    <w:basedOn w:val="DefaultParagraphFont"/>
    <w:link w:val="ListParagraph"/>
    <w:uiPriority w:val="34"/>
    <w:rsid w:val="007151B2"/>
    <w:rPr>
      <w:rFonts w:ascii="Times New Roman" w:hAnsi="Times New Roman"/>
      <w:noProof/>
    </w:rPr>
  </w:style>
  <w:style w:type="character" w:customStyle="1" w:styleId="Head3Char">
    <w:name w:val="Head 3 Char"/>
    <w:basedOn w:val="ListParagraphChar"/>
    <w:link w:val="Head3"/>
    <w:rsid w:val="007151B2"/>
    <w:rPr>
      <w:rFonts w:ascii="Times New Roman" w:eastAsia="Times New Roman" w:hAnsi="Times New Roman" w:cs="Times New Roman"/>
      <w:b/>
      <w:bCs/>
      <w:noProof/>
    </w:rPr>
  </w:style>
  <w:style w:type="paragraph" w:customStyle="1" w:styleId="AS-H1a">
    <w:name w:val="AS-H1a"/>
    <w:basedOn w:val="Normal"/>
    <w:link w:val="AS-H1aChar"/>
    <w:qFormat/>
    <w:rsid w:val="007151B2"/>
    <w:pPr>
      <w:suppressAutoHyphens/>
      <w:autoSpaceDE w:val="0"/>
      <w:autoSpaceDN w:val="0"/>
      <w:adjustRightInd w:val="0"/>
      <w:jc w:val="center"/>
    </w:pPr>
    <w:rPr>
      <w:rFonts w:ascii="Arial" w:hAnsi="Arial" w:cs="Arial"/>
      <w:b/>
      <w:sz w:val="36"/>
      <w:szCs w:val="36"/>
    </w:rPr>
  </w:style>
  <w:style w:type="paragraph" w:customStyle="1" w:styleId="AS-H2">
    <w:name w:val="AS-H2"/>
    <w:basedOn w:val="Normal"/>
    <w:link w:val="AS-H2Char"/>
    <w:autoRedefine/>
    <w:qFormat/>
    <w:rsid w:val="007151B2"/>
    <w:pPr>
      <w:suppressAutoHyphens/>
      <w:autoSpaceDE w:val="0"/>
      <w:autoSpaceDN w:val="0"/>
      <w:adjustRightInd w:val="0"/>
      <w:jc w:val="center"/>
    </w:pPr>
    <w:rPr>
      <w:rFonts w:cs="Times New Roman"/>
      <w:b/>
      <w:caps/>
      <w:color w:val="000000"/>
      <w:sz w:val="26"/>
    </w:rPr>
  </w:style>
  <w:style w:type="character" w:customStyle="1" w:styleId="AS-H1aChar">
    <w:name w:val="AS-H1a Char"/>
    <w:basedOn w:val="DefaultParagraphFont"/>
    <w:link w:val="AS-H1a"/>
    <w:rsid w:val="007151B2"/>
    <w:rPr>
      <w:rFonts w:ascii="Arial" w:hAnsi="Arial" w:cs="Arial"/>
      <w:b/>
      <w:noProof/>
      <w:sz w:val="36"/>
      <w:szCs w:val="36"/>
    </w:rPr>
  </w:style>
  <w:style w:type="paragraph" w:customStyle="1" w:styleId="AS-H1-Colour">
    <w:name w:val="AS-H1-Colour"/>
    <w:basedOn w:val="Normal"/>
    <w:link w:val="AS-H1-ColourChar"/>
    <w:rsid w:val="007151B2"/>
    <w:pPr>
      <w:suppressAutoHyphens/>
      <w:autoSpaceDE w:val="0"/>
      <w:autoSpaceDN w:val="0"/>
      <w:adjustRightInd w:val="0"/>
      <w:jc w:val="center"/>
    </w:pPr>
    <w:rPr>
      <w:rFonts w:ascii="Arial" w:hAnsi="Arial" w:cs="Arial"/>
      <w:b/>
      <w:color w:val="00B050"/>
      <w:sz w:val="36"/>
      <w:szCs w:val="36"/>
    </w:rPr>
  </w:style>
  <w:style w:type="character" w:customStyle="1" w:styleId="AS-H2Char">
    <w:name w:val="AS-H2 Char"/>
    <w:basedOn w:val="DefaultParagraphFont"/>
    <w:link w:val="AS-H2"/>
    <w:rsid w:val="007151B2"/>
    <w:rPr>
      <w:rFonts w:ascii="Times New Roman" w:hAnsi="Times New Roman" w:cs="Times New Roman"/>
      <w:b/>
      <w:caps/>
      <w:noProof/>
      <w:color w:val="000000"/>
      <w:sz w:val="26"/>
    </w:rPr>
  </w:style>
  <w:style w:type="paragraph" w:customStyle="1" w:styleId="AS-H2b">
    <w:name w:val="AS-H2b"/>
    <w:basedOn w:val="Normal"/>
    <w:link w:val="AS-H2bChar"/>
    <w:rsid w:val="007151B2"/>
    <w:pPr>
      <w:suppressAutoHyphens/>
      <w:autoSpaceDE w:val="0"/>
      <w:autoSpaceDN w:val="0"/>
      <w:adjustRightInd w:val="0"/>
      <w:jc w:val="center"/>
    </w:pPr>
    <w:rPr>
      <w:rFonts w:ascii="Arial" w:hAnsi="Arial" w:cs="Arial"/>
    </w:rPr>
  </w:style>
  <w:style w:type="character" w:customStyle="1" w:styleId="AS-H1-ColourChar">
    <w:name w:val="AS-H1-Colour Char"/>
    <w:basedOn w:val="DefaultParagraphFont"/>
    <w:link w:val="AS-H1-Colour"/>
    <w:rsid w:val="007151B2"/>
    <w:rPr>
      <w:rFonts w:ascii="Arial" w:hAnsi="Arial" w:cs="Arial"/>
      <w:b/>
      <w:noProof/>
      <w:color w:val="00B050"/>
      <w:sz w:val="36"/>
      <w:szCs w:val="36"/>
    </w:rPr>
  </w:style>
  <w:style w:type="paragraph" w:customStyle="1" w:styleId="AS-H3">
    <w:name w:val="AS-H3"/>
    <w:basedOn w:val="AS-H3A"/>
    <w:link w:val="AS-H3Char"/>
    <w:rsid w:val="007151B2"/>
    <w:rPr>
      <w:sz w:val="28"/>
    </w:rPr>
  </w:style>
  <w:style w:type="character" w:customStyle="1" w:styleId="AS-H2bChar">
    <w:name w:val="AS-H2b Char"/>
    <w:basedOn w:val="DefaultParagraphFont"/>
    <w:link w:val="AS-H2b"/>
    <w:rsid w:val="007151B2"/>
    <w:rPr>
      <w:rFonts w:ascii="Arial" w:hAnsi="Arial" w:cs="Arial"/>
      <w:noProof/>
    </w:rPr>
  </w:style>
  <w:style w:type="paragraph" w:customStyle="1" w:styleId="AS-H3b">
    <w:name w:val="AS-H3b"/>
    <w:basedOn w:val="Normal"/>
    <w:link w:val="AS-H3bChar"/>
    <w:autoRedefine/>
    <w:qFormat/>
    <w:rsid w:val="007151B2"/>
    <w:pPr>
      <w:jc w:val="center"/>
    </w:pPr>
    <w:rPr>
      <w:rFonts w:cs="Times New Roman"/>
      <w:smallCaps/>
    </w:rPr>
  </w:style>
  <w:style w:type="character" w:customStyle="1" w:styleId="AS-H3Char">
    <w:name w:val="AS-H3 Char"/>
    <w:basedOn w:val="AS-H3AChar"/>
    <w:link w:val="AS-H3"/>
    <w:rsid w:val="007151B2"/>
    <w:rPr>
      <w:rFonts w:ascii="Times New Roman" w:hAnsi="Times New Roman" w:cs="Times New Roman"/>
      <w:caps/>
      <w:noProof/>
      <w:sz w:val="28"/>
    </w:rPr>
  </w:style>
  <w:style w:type="paragraph" w:customStyle="1" w:styleId="AS-H3c">
    <w:name w:val="AS-H3c"/>
    <w:basedOn w:val="Head2B"/>
    <w:link w:val="AS-H3cChar"/>
    <w:rsid w:val="007151B2"/>
    <w:rPr>
      <w:b/>
    </w:rPr>
  </w:style>
  <w:style w:type="character" w:customStyle="1" w:styleId="AS-H3bChar">
    <w:name w:val="AS-H3b Char"/>
    <w:basedOn w:val="AS-H3AChar"/>
    <w:link w:val="AS-H3b"/>
    <w:rsid w:val="007151B2"/>
    <w:rPr>
      <w:rFonts w:ascii="Times New Roman" w:hAnsi="Times New Roman" w:cs="Times New Roman"/>
      <w:caps w:val="0"/>
      <w:smallCaps/>
      <w:noProof/>
    </w:rPr>
  </w:style>
  <w:style w:type="paragraph" w:customStyle="1" w:styleId="AS-H3d">
    <w:name w:val="AS-H3d"/>
    <w:basedOn w:val="Head2B"/>
    <w:link w:val="AS-H3dChar"/>
    <w:rsid w:val="007151B2"/>
  </w:style>
  <w:style w:type="character" w:customStyle="1" w:styleId="AS-H3cChar">
    <w:name w:val="AS-H3c Char"/>
    <w:basedOn w:val="Head2BChar"/>
    <w:link w:val="AS-H3c"/>
    <w:rsid w:val="007151B2"/>
    <w:rPr>
      <w:rFonts w:ascii="Times New Roman" w:hAnsi="Times New Roman" w:cs="Times New Roman"/>
      <w:b/>
      <w:caps/>
      <w:noProof/>
    </w:rPr>
  </w:style>
  <w:style w:type="paragraph" w:customStyle="1" w:styleId="AS-P0">
    <w:name w:val="AS-P(0)"/>
    <w:basedOn w:val="Normal"/>
    <w:link w:val="AS-P0Char"/>
    <w:qFormat/>
    <w:rsid w:val="007151B2"/>
    <w:pPr>
      <w:tabs>
        <w:tab w:val="left" w:pos="567"/>
      </w:tabs>
      <w:jc w:val="both"/>
    </w:pPr>
    <w:rPr>
      <w:rFonts w:eastAsia="Times New Roman" w:cs="Times New Roman"/>
    </w:rPr>
  </w:style>
  <w:style w:type="character" w:customStyle="1" w:styleId="AS-H3dChar">
    <w:name w:val="AS-H3d Char"/>
    <w:basedOn w:val="Head2BChar"/>
    <w:link w:val="AS-H3d"/>
    <w:rsid w:val="007151B2"/>
    <w:rPr>
      <w:rFonts w:ascii="Times New Roman" w:hAnsi="Times New Roman" w:cs="Times New Roman"/>
      <w:caps/>
      <w:noProof/>
    </w:rPr>
  </w:style>
  <w:style w:type="paragraph" w:customStyle="1" w:styleId="AS-P1">
    <w:name w:val="AS-P(1)"/>
    <w:basedOn w:val="Normal"/>
    <w:link w:val="AS-P1Char"/>
    <w:qFormat/>
    <w:rsid w:val="007151B2"/>
    <w:pPr>
      <w:suppressAutoHyphens/>
      <w:ind w:right="-7" w:firstLine="567"/>
      <w:jc w:val="both"/>
    </w:pPr>
    <w:rPr>
      <w:rFonts w:eastAsia="Times New Roman" w:cs="Times New Roman"/>
    </w:rPr>
  </w:style>
  <w:style w:type="character" w:customStyle="1" w:styleId="AS-P0Char">
    <w:name w:val="AS-P(0) Char"/>
    <w:basedOn w:val="DefaultParagraphFont"/>
    <w:link w:val="AS-P0"/>
    <w:rsid w:val="007151B2"/>
    <w:rPr>
      <w:rFonts w:ascii="Times New Roman" w:eastAsia="Times New Roman" w:hAnsi="Times New Roman" w:cs="Times New Roman"/>
      <w:noProof/>
    </w:rPr>
  </w:style>
  <w:style w:type="paragraph" w:customStyle="1" w:styleId="AS-Pa">
    <w:name w:val="AS-P(a)"/>
    <w:basedOn w:val="AS-Pahang"/>
    <w:link w:val="AS-PaChar"/>
    <w:qFormat/>
    <w:rsid w:val="007151B2"/>
  </w:style>
  <w:style w:type="character" w:customStyle="1" w:styleId="AS-P1Char">
    <w:name w:val="AS-P(1) Char"/>
    <w:basedOn w:val="DefaultParagraphFont"/>
    <w:link w:val="AS-P1"/>
    <w:rsid w:val="007151B2"/>
    <w:rPr>
      <w:rFonts w:ascii="Times New Roman" w:eastAsia="Times New Roman" w:hAnsi="Times New Roman" w:cs="Times New Roman"/>
      <w:noProof/>
    </w:rPr>
  </w:style>
  <w:style w:type="paragraph" w:customStyle="1" w:styleId="AS-Pi">
    <w:name w:val="AS-P(i)"/>
    <w:basedOn w:val="Normal"/>
    <w:link w:val="AS-PiChar"/>
    <w:qFormat/>
    <w:rsid w:val="007151B2"/>
    <w:pPr>
      <w:suppressAutoHyphens/>
      <w:ind w:left="1701" w:right="-7" w:hanging="567"/>
      <w:jc w:val="both"/>
    </w:pPr>
    <w:rPr>
      <w:rFonts w:eastAsia="Times New Roman" w:cs="Times New Roman"/>
    </w:rPr>
  </w:style>
  <w:style w:type="character" w:customStyle="1" w:styleId="AS-PaChar">
    <w:name w:val="AS-P(a) Char"/>
    <w:basedOn w:val="DefaultParagraphFont"/>
    <w:link w:val="AS-Pa"/>
    <w:rsid w:val="007151B2"/>
    <w:rPr>
      <w:rFonts w:ascii="Times New Roman" w:eastAsia="Times New Roman" w:hAnsi="Times New Roman" w:cs="Times New Roman"/>
      <w:noProof/>
    </w:rPr>
  </w:style>
  <w:style w:type="paragraph" w:customStyle="1" w:styleId="AS-Pahang">
    <w:name w:val="AS-P(a)hang"/>
    <w:basedOn w:val="Normal"/>
    <w:link w:val="AS-PahangChar"/>
    <w:rsid w:val="007151B2"/>
    <w:pPr>
      <w:suppressAutoHyphens/>
      <w:ind w:left="1134" w:right="-7" w:hanging="567"/>
      <w:jc w:val="both"/>
    </w:pPr>
    <w:rPr>
      <w:rFonts w:eastAsia="Times New Roman" w:cs="Times New Roman"/>
    </w:rPr>
  </w:style>
  <w:style w:type="character" w:customStyle="1" w:styleId="AS-PiChar">
    <w:name w:val="AS-P(i) Char"/>
    <w:basedOn w:val="DefaultParagraphFont"/>
    <w:link w:val="AS-Pi"/>
    <w:rsid w:val="007151B2"/>
    <w:rPr>
      <w:rFonts w:ascii="Times New Roman" w:eastAsia="Times New Roman" w:hAnsi="Times New Roman" w:cs="Times New Roman"/>
      <w:noProof/>
    </w:rPr>
  </w:style>
  <w:style w:type="paragraph" w:customStyle="1" w:styleId="AS-Paa">
    <w:name w:val="AS-P(aa)"/>
    <w:basedOn w:val="Normal"/>
    <w:link w:val="AS-PaaChar"/>
    <w:qFormat/>
    <w:rsid w:val="007151B2"/>
    <w:pPr>
      <w:suppressAutoHyphens/>
      <w:ind w:left="2267" w:right="-7" w:hanging="566"/>
      <w:jc w:val="both"/>
    </w:pPr>
    <w:rPr>
      <w:rFonts w:eastAsia="Times New Roman" w:cs="Times New Roman"/>
    </w:rPr>
  </w:style>
  <w:style w:type="character" w:customStyle="1" w:styleId="AS-PahangChar">
    <w:name w:val="AS-P(a)hang Char"/>
    <w:basedOn w:val="DefaultParagraphFont"/>
    <w:link w:val="AS-Pahang"/>
    <w:rsid w:val="007151B2"/>
    <w:rPr>
      <w:rFonts w:ascii="Times New Roman" w:eastAsia="Times New Roman" w:hAnsi="Times New Roman" w:cs="Times New Roman"/>
      <w:noProof/>
    </w:rPr>
  </w:style>
  <w:style w:type="paragraph" w:customStyle="1" w:styleId="AS-P-Amend">
    <w:name w:val="AS-P-Amend"/>
    <w:link w:val="AS-P-AmendChar"/>
    <w:qFormat/>
    <w:rsid w:val="007151B2"/>
    <w:pPr>
      <w:spacing w:after="0" w:line="240" w:lineRule="auto"/>
      <w:jc w:val="center"/>
    </w:pPr>
    <w:rPr>
      <w:rFonts w:ascii="Arial" w:eastAsia="Times New Roman" w:hAnsi="Arial" w:cs="Arial"/>
      <w:b/>
      <w:noProof/>
      <w:color w:val="00B050"/>
      <w:sz w:val="18"/>
      <w:szCs w:val="18"/>
    </w:rPr>
  </w:style>
  <w:style w:type="character" w:customStyle="1" w:styleId="AS-PaaChar">
    <w:name w:val="AS-P(aa) Char"/>
    <w:basedOn w:val="DefaultParagraphFont"/>
    <w:link w:val="AS-Paa"/>
    <w:rsid w:val="007151B2"/>
    <w:rPr>
      <w:rFonts w:ascii="Times New Roman" w:eastAsia="Times New Roman" w:hAnsi="Times New Roman" w:cs="Times New Roman"/>
      <w:noProof/>
    </w:rPr>
  </w:style>
  <w:style w:type="character" w:customStyle="1" w:styleId="AS-P-AmendChar">
    <w:name w:val="AS-P-Amend Char"/>
    <w:basedOn w:val="AS-P0Char"/>
    <w:link w:val="AS-P-Amend"/>
    <w:rsid w:val="007151B2"/>
    <w:rPr>
      <w:rFonts w:ascii="Arial" w:eastAsia="Times New Roman" w:hAnsi="Arial" w:cs="Arial"/>
      <w:b/>
      <w:noProof/>
      <w:color w:val="00B050"/>
      <w:sz w:val="18"/>
      <w:szCs w:val="18"/>
    </w:rPr>
  </w:style>
  <w:style w:type="character" w:styleId="CommentReference">
    <w:name w:val="annotation reference"/>
    <w:basedOn w:val="DefaultParagraphFont"/>
    <w:uiPriority w:val="99"/>
    <w:semiHidden/>
    <w:unhideWhenUsed/>
    <w:rsid w:val="007151B2"/>
    <w:rPr>
      <w:sz w:val="16"/>
      <w:szCs w:val="16"/>
    </w:rPr>
  </w:style>
  <w:style w:type="paragraph" w:styleId="CommentText">
    <w:name w:val="annotation text"/>
    <w:basedOn w:val="Normal"/>
    <w:link w:val="CommentTextChar"/>
    <w:uiPriority w:val="99"/>
    <w:unhideWhenUsed/>
    <w:rsid w:val="007151B2"/>
    <w:rPr>
      <w:sz w:val="20"/>
      <w:szCs w:val="20"/>
    </w:rPr>
  </w:style>
  <w:style w:type="character" w:customStyle="1" w:styleId="CommentTextChar">
    <w:name w:val="Comment Text Char"/>
    <w:basedOn w:val="DefaultParagraphFont"/>
    <w:link w:val="CommentText"/>
    <w:uiPriority w:val="99"/>
    <w:rsid w:val="007151B2"/>
    <w:rPr>
      <w:rFonts w:ascii="Times New Roman" w:hAnsi="Times New Roman"/>
      <w:noProof/>
      <w:sz w:val="20"/>
      <w:szCs w:val="20"/>
    </w:rPr>
  </w:style>
  <w:style w:type="paragraph" w:styleId="CommentSubject">
    <w:name w:val="annotation subject"/>
    <w:basedOn w:val="CommentText"/>
    <w:next w:val="CommentText"/>
    <w:link w:val="CommentSubjectChar"/>
    <w:uiPriority w:val="99"/>
    <w:semiHidden/>
    <w:unhideWhenUsed/>
    <w:rsid w:val="007151B2"/>
    <w:rPr>
      <w:b/>
      <w:bCs/>
    </w:rPr>
  </w:style>
  <w:style w:type="character" w:customStyle="1" w:styleId="CommentSubjectChar">
    <w:name w:val="Comment Subject Char"/>
    <w:basedOn w:val="CommentTextChar"/>
    <w:link w:val="CommentSubject"/>
    <w:uiPriority w:val="99"/>
    <w:semiHidden/>
    <w:rsid w:val="007151B2"/>
    <w:rPr>
      <w:rFonts w:ascii="Times New Roman" w:hAnsi="Times New Roman"/>
      <w:b/>
      <w:bCs/>
      <w:noProof/>
      <w:sz w:val="20"/>
      <w:szCs w:val="20"/>
    </w:rPr>
  </w:style>
  <w:style w:type="paragraph" w:customStyle="1" w:styleId="AS-H4A">
    <w:name w:val="AS-H4A"/>
    <w:basedOn w:val="AS-P0"/>
    <w:link w:val="AS-H4AChar"/>
    <w:rsid w:val="007151B2"/>
    <w:pPr>
      <w:tabs>
        <w:tab w:val="clear" w:pos="567"/>
      </w:tabs>
      <w:jc w:val="center"/>
    </w:pPr>
    <w:rPr>
      <w:b/>
      <w:caps/>
    </w:rPr>
  </w:style>
  <w:style w:type="paragraph" w:customStyle="1" w:styleId="AS-H4b">
    <w:name w:val="AS-H4b"/>
    <w:basedOn w:val="AS-P0"/>
    <w:link w:val="AS-H4bChar"/>
    <w:rsid w:val="007151B2"/>
    <w:pPr>
      <w:tabs>
        <w:tab w:val="clear" w:pos="567"/>
      </w:tabs>
      <w:jc w:val="center"/>
    </w:pPr>
    <w:rPr>
      <w:b/>
    </w:rPr>
  </w:style>
  <w:style w:type="character" w:customStyle="1" w:styleId="AS-H4AChar">
    <w:name w:val="AS-H4A Char"/>
    <w:basedOn w:val="AS-P0Char"/>
    <w:link w:val="AS-H4A"/>
    <w:rsid w:val="007151B2"/>
    <w:rPr>
      <w:rFonts w:ascii="Times New Roman" w:eastAsia="Times New Roman" w:hAnsi="Times New Roman" w:cs="Times New Roman"/>
      <w:b/>
      <w:caps/>
      <w:noProof/>
    </w:rPr>
  </w:style>
  <w:style w:type="character" w:customStyle="1" w:styleId="AS-H4bChar">
    <w:name w:val="AS-H4b Char"/>
    <w:basedOn w:val="AS-P0Char"/>
    <w:link w:val="AS-H4b"/>
    <w:rsid w:val="007151B2"/>
    <w:rPr>
      <w:rFonts w:ascii="Times New Roman" w:eastAsia="Times New Roman" w:hAnsi="Times New Roman" w:cs="Times New Roman"/>
      <w:b/>
      <w:noProof/>
    </w:rPr>
  </w:style>
  <w:style w:type="paragraph" w:customStyle="1" w:styleId="AS-H2a">
    <w:name w:val="AS-H2a"/>
    <w:basedOn w:val="Normal"/>
    <w:link w:val="AS-H2aChar"/>
    <w:rsid w:val="007151B2"/>
    <w:pPr>
      <w:suppressAutoHyphens/>
      <w:autoSpaceDE w:val="0"/>
      <w:autoSpaceDN w:val="0"/>
      <w:adjustRightInd w:val="0"/>
      <w:jc w:val="center"/>
    </w:pPr>
    <w:rPr>
      <w:rFonts w:ascii="Arial" w:hAnsi="Arial" w:cs="Arial"/>
      <w:b/>
    </w:rPr>
  </w:style>
  <w:style w:type="character" w:customStyle="1" w:styleId="AS-H2aChar">
    <w:name w:val="AS-H2a Char"/>
    <w:basedOn w:val="DefaultParagraphFont"/>
    <w:link w:val="AS-H2a"/>
    <w:rsid w:val="007151B2"/>
    <w:rPr>
      <w:rFonts w:ascii="Arial" w:hAnsi="Arial" w:cs="Arial"/>
      <w:b/>
      <w:noProof/>
    </w:rPr>
  </w:style>
  <w:style w:type="paragraph" w:customStyle="1" w:styleId="AS-H1b">
    <w:name w:val="AS-H1b"/>
    <w:basedOn w:val="Normal"/>
    <w:link w:val="AS-H1bChar"/>
    <w:qFormat/>
    <w:rsid w:val="007151B2"/>
    <w:pPr>
      <w:jc w:val="center"/>
    </w:pPr>
    <w:rPr>
      <w:rFonts w:ascii="Arial" w:hAnsi="Arial" w:cs="Arial"/>
      <w:b/>
      <w:color w:val="000000"/>
      <w:sz w:val="24"/>
      <w:szCs w:val="24"/>
      <w:lang w:val="en-ZA"/>
    </w:rPr>
  </w:style>
  <w:style w:type="character" w:customStyle="1" w:styleId="AS-H1bChar">
    <w:name w:val="AS-H1b Char"/>
    <w:basedOn w:val="AS-H2aChar"/>
    <w:link w:val="AS-H1b"/>
    <w:rsid w:val="007151B2"/>
    <w:rPr>
      <w:rFonts w:ascii="Arial" w:hAnsi="Arial" w:cs="Arial"/>
      <w:b/>
      <w:noProof/>
      <w:color w:val="000000"/>
      <w:sz w:val="24"/>
      <w:szCs w:val="24"/>
      <w:lang w:val="en-ZA"/>
    </w:rPr>
  </w:style>
  <w:style w:type="paragraph" w:customStyle="1" w:styleId="ASHeader">
    <w:name w:val="AS Header"/>
    <w:basedOn w:val="Header"/>
    <w:link w:val="ASHeaderChar"/>
    <w:rsid w:val="007151B2"/>
    <w:pPr>
      <w:tabs>
        <w:tab w:val="clear" w:pos="4513"/>
        <w:tab w:val="clear" w:pos="9026"/>
        <w:tab w:val="left" w:pos="567"/>
        <w:tab w:val="left" w:pos="2268"/>
      </w:tabs>
      <w:jc w:val="center"/>
    </w:pPr>
    <w:rPr>
      <w:rFonts w:ascii="Arial" w:hAnsi="Arial" w:cs="Arial"/>
      <w:b/>
      <w:sz w:val="16"/>
      <w:szCs w:val="16"/>
    </w:rPr>
  </w:style>
  <w:style w:type="character" w:customStyle="1" w:styleId="ASHeaderChar">
    <w:name w:val="AS Header Char"/>
    <w:basedOn w:val="HeaderChar"/>
    <w:link w:val="ASHeader"/>
    <w:rsid w:val="007151B2"/>
    <w:rPr>
      <w:rFonts w:ascii="Arial" w:hAnsi="Arial" w:cs="Arial"/>
      <w:b/>
      <w:noProof/>
      <w:sz w:val="16"/>
      <w:szCs w:val="16"/>
    </w:rPr>
  </w:style>
  <w:style w:type="paragraph" w:customStyle="1" w:styleId="Default">
    <w:name w:val="Default"/>
    <w:rsid w:val="00F26626"/>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CM1">
    <w:name w:val="CM1"/>
    <w:basedOn w:val="Default"/>
    <w:next w:val="Default"/>
    <w:uiPriority w:val="99"/>
    <w:rsid w:val="00EC1010"/>
    <w:rPr>
      <w:color w:val="auto"/>
    </w:rPr>
  </w:style>
  <w:style w:type="paragraph" w:customStyle="1" w:styleId="CM24">
    <w:name w:val="CM24"/>
    <w:basedOn w:val="Default"/>
    <w:next w:val="Default"/>
    <w:uiPriority w:val="99"/>
    <w:rsid w:val="00043DB6"/>
    <w:rPr>
      <w:color w:val="auto"/>
    </w:rPr>
  </w:style>
  <w:style w:type="paragraph" w:customStyle="1" w:styleId="CM19">
    <w:name w:val="CM19"/>
    <w:basedOn w:val="Default"/>
    <w:next w:val="Default"/>
    <w:uiPriority w:val="99"/>
    <w:rsid w:val="00043DB6"/>
    <w:rPr>
      <w:color w:val="auto"/>
    </w:rPr>
  </w:style>
  <w:style w:type="paragraph" w:customStyle="1" w:styleId="CM22">
    <w:name w:val="CM22"/>
    <w:basedOn w:val="Default"/>
    <w:next w:val="Default"/>
    <w:uiPriority w:val="99"/>
    <w:rsid w:val="00043DB6"/>
    <w:rPr>
      <w:color w:val="auto"/>
    </w:rPr>
  </w:style>
  <w:style w:type="paragraph" w:customStyle="1" w:styleId="CM23">
    <w:name w:val="CM23"/>
    <w:basedOn w:val="Default"/>
    <w:next w:val="Default"/>
    <w:uiPriority w:val="99"/>
    <w:rsid w:val="00043DB6"/>
    <w:rPr>
      <w:color w:val="auto"/>
    </w:rPr>
  </w:style>
  <w:style w:type="paragraph" w:customStyle="1" w:styleId="CM4">
    <w:name w:val="CM4"/>
    <w:basedOn w:val="Default"/>
    <w:next w:val="Default"/>
    <w:uiPriority w:val="99"/>
    <w:rsid w:val="00043DB6"/>
    <w:pPr>
      <w:spacing w:line="198" w:lineRule="atLeast"/>
    </w:pPr>
    <w:rPr>
      <w:color w:val="auto"/>
    </w:rPr>
  </w:style>
  <w:style w:type="paragraph" w:customStyle="1" w:styleId="CM21">
    <w:name w:val="CM21"/>
    <w:basedOn w:val="Default"/>
    <w:next w:val="Default"/>
    <w:uiPriority w:val="99"/>
    <w:rsid w:val="00043DB6"/>
    <w:rPr>
      <w:color w:val="auto"/>
    </w:rPr>
  </w:style>
  <w:style w:type="paragraph" w:customStyle="1" w:styleId="CM7">
    <w:name w:val="CM7"/>
    <w:basedOn w:val="Default"/>
    <w:next w:val="Default"/>
    <w:uiPriority w:val="99"/>
    <w:rsid w:val="00043DB6"/>
    <w:pPr>
      <w:spacing w:line="200" w:lineRule="atLeast"/>
    </w:pPr>
    <w:rPr>
      <w:color w:val="auto"/>
    </w:rPr>
  </w:style>
  <w:style w:type="character" w:styleId="Emphasis">
    <w:name w:val="Emphasis"/>
    <w:uiPriority w:val="20"/>
    <w:qFormat/>
    <w:rsid w:val="008A788F"/>
    <w:rPr>
      <w:rFonts w:cs="Times New Roman"/>
      <w:i/>
      <w:iCs/>
    </w:rPr>
  </w:style>
  <w:style w:type="character" w:styleId="Hyperlink">
    <w:name w:val="Hyperlink"/>
    <w:basedOn w:val="DefaultParagraphFont"/>
    <w:uiPriority w:val="99"/>
    <w:unhideWhenUsed/>
    <w:rsid w:val="00ED270B"/>
    <w:rPr>
      <w:rFonts w:ascii="Arial" w:hAnsi="Arial"/>
      <w:color w:val="00B050"/>
      <w:sz w:val="18"/>
      <w:u w:val="single"/>
    </w:rPr>
  </w:style>
  <w:style w:type="paragraph" w:customStyle="1" w:styleId="REG-Amend">
    <w:name w:val="REG-Amend"/>
    <w:link w:val="REG-AmendChar"/>
    <w:qFormat/>
    <w:rsid w:val="004B5F9E"/>
    <w:pPr>
      <w:spacing w:after="0" w:line="240" w:lineRule="auto"/>
      <w:jc w:val="center"/>
    </w:pPr>
    <w:rPr>
      <w:rFonts w:ascii="Arial" w:eastAsia="Times New Roman" w:hAnsi="Arial" w:cs="Arial"/>
      <w:b/>
      <w:color w:val="00B050"/>
      <w:sz w:val="18"/>
      <w:szCs w:val="18"/>
    </w:rPr>
  </w:style>
  <w:style w:type="character" w:customStyle="1" w:styleId="REG-AmendChar">
    <w:name w:val="REG-Amend Char"/>
    <w:basedOn w:val="DefaultParagraphFont"/>
    <w:link w:val="REG-Amend"/>
    <w:rsid w:val="004B5F9E"/>
    <w:rPr>
      <w:rFonts w:ascii="Arial" w:eastAsia="Times New Roman" w:hAnsi="Arial" w:cs="Arial"/>
      <w:b/>
      <w:color w:val="00B050"/>
      <w:sz w:val="18"/>
      <w:szCs w:val="18"/>
    </w:rPr>
  </w:style>
  <w:style w:type="character" w:styleId="FollowedHyperlink">
    <w:name w:val="FollowedHyperlink"/>
    <w:basedOn w:val="DefaultParagraphFont"/>
    <w:uiPriority w:val="99"/>
    <w:semiHidden/>
    <w:unhideWhenUsed/>
    <w:rsid w:val="00ED270B"/>
    <w:rPr>
      <w:rFonts w:ascii="Arial" w:hAnsi="Arial"/>
      <w:color w:val="00B050"/>
      <w:sz w:val="18"/>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lac.org.na/laws/GGsa/rsagg5504.pdf"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User\AppData\Roaming\Microsoft\Templates\GRN%20Annotated%20Statute%20Template%20-%20Pre-Independence%20(RSA).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39C2D7F-D5A7-4182-B352-7B607AC8C4F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GRN Annotated Statute Template - Pre-Independence (RSA).dotx</Template>
  <TotalTime>52</TotalTime>
  <Pages>3</Pages>
  <Words>1095</Words>
  <Characters>5733</Characters>
  <Application>Microsoft Office Word</Application>
  <DocSecurity>0</DocSecurity>
  <Lines>79</Lines>
  <Paragraphs>21</Paragraphs>
  <ScaleCrop>false</ScaleCrop>
  <HeadingPairs>
    <vt:vector size="2" baseType="variant">
      <vt:variant>
        <vt:lpstr>Title</vt:lpstr>
      </vt:variant>
      <vt:variant>
        <vt:i4>1</vt:i4>
      </vt:variant>
    </vt:vector>
  </HeadingPairs>
  <TitlesOfParts>
    <vt:vector size="1" baseType="lpstr">
      <vt:lpstr>Recognition and Enforcement of Foreign Arbitral Awards Act 40 of 1977 (RSA)</vt:lpstr>
    </vt:vector>
  </TitlesOfParts>
  <Company/>
  <LinksUpToDate>false</LinksUpToDate>
  <CharactersWithSpaces>6807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Recognition and Enforcement of Foreign Arbitral Awards Act 40 of 1977 (RSA)</dc:title>
  <dc:creator>LAC</dc:creator>
  <cp:lastModifiedBy>Dianne Hubbard</cp:lastModifiedBy>
  <cp:revision>25</cp:revision>
  <dcterms:created xsi:type="dcterms:W3CDTF">2014-11-29T12:30:00Z</dcterms:created>
  <dcterms:modified xsi:type="dcterms:W3CDTF">2021-07-05T12:17:00Z</dcterms:modified>
</cp:coreProperties>
</file>