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5CEF" w:rsidRPr="00642772" w:rsidRDefault="0049507E" w:rsidP="00D51089">
      <w:pPr>
        <w:pStyle w:val="AS-H1a"/>
      </w:pPr>
      <w:bookmarkStart w:id="0" w:name="_GoBack"/>
      <w:bookmarkEnd w:id="0"/>
      <w:r w:rsidRPr="00642772">
        <w:rPr>
          <w:lang w:val="en-ZA" w:eastAsia="en-ZA"/>
        </w:rPr>
        <w:drawing>
          <wp:anchor distT="0" distB="0" distL="114300" distR="114300" simplePos="0" relativeHeight="251661312" behindDoc="0" locked="1" layoutInCell="0" allowOverlap="0">
            <wp:simplePos x="0" y="869950"/>
            <wp:positionH relativeFrom="margin">
              <wp:align>center</wp:align>
            </wp:positionH>
            <wp:positionV relativeFrom="page">
              <wp:align>top</wp:align>
            </wp:positionV>
            <wp:extent cx="7560000" cy="2995200"/>
            <wp:effectExtent l="0" t="0" r="317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N Annotated Statute - Template - Header Block.JPG"/>
                    <pic:cNvPicPr/>
                  </pic:nvPicPr>
                  <pic:blipFill>
                    <a:blip r:embed="rId8">
                      <a:extLst>
                        <a:ext uri="{28A0092B-C50C-407E-A947-70E740481C1C}">
                          <a14:useLocalDpi xmlns:a14="http://schemas.microsoft.com/office/drawing/2010/main" val="0"/>
                        </a:ext>
                      </a:extLst>
                    </a:blip>
                    <a:stretch>
                      <a:fillRect/>
                    </a:stretch>
                  </pic:blipFill>
                  <pic:spPr>
                    <a:xfrm>
                      <a:off x="0" y="0"/>
                      <a:ext cx="7560000" cy="2995200"/>
                    </a:xfrm>
                    <a:prstGeom prst="rect">
                      <a:avLst/>
                    </a:prstGeom>
                  </pic:spPr>
                </pic:pic>
              </a:graphicData>
            </a:graphic>
            <wp14:sizeRelH relativeFrom="margin">
              <wp14:pctWidth>0</wp14:pctWidth>
            </wp14:sizeRelH>
            <wp14:sizeRelV relativeFrom="margin">
              <wp14:pctHeight>0</wp14:pctHeight>
            </wp14:sizeRelV>
          </wp:anchor>
        </w:drawing>
      </w:r>
    </w:p>
    <w:p w:rsidR="008938F7" w:rsidRPr="00642772" w:rsidRDefault="000D3C08" w:rsidP="008938F7">
      <w:pPr>
        <w:pStyle w:val="AS-H1a"/>
        <w:rPr>
          <w:position w:val="4"/>
          <w:sz w:val="20"/>
          <w:szCs w:val="20"/>
        </w:rPr>
      </w:pPr>
      <w:r w:rsidRPr="00642772">
        <w:t>Commissions Act 8 of 1947</w:t>
      </w:r>
      <w:r w:rsidR="00AE1D85" w:rsidRPr="00642772">
        <w:t xml:space="preserve"> (SA)</w:t>
      </w:r>
    </w:p>
    <w:p w:rsidR="008938F7" w:rsidRPr="00642772" w:rsidRDefault="008938F7" w:rsidP="005B23AF">
      <w:pPr>
        <w:pStyle w:val="AS-P-Amend"/>
      </w:pPr>
      <w:r w:rsidRPr="00642772">
        <w:t>(</w:t>
      </w:r>
      <w:r w:rsidR="00AE1D85" w:rsidRPr="00642772">
        <w:t xml:space="preserve">SA </w:t>
      </w:r>
      <w:r w:rsidRPr="00642772">
        <w:t xml:space="preserve">GG </w:t>
      </w:r>
      <w:r w:rsidR="009904A2" w:rsidRPr="00642772">
        <w:t>3800</w:t>
      </w:r>
      <w:r w:rsidRPr="00642772">
        <w:t>)</w:t>
      </w:r>
    </w:p>
    <w:p w:rsidR="003831C1" w:rsidRPr="00642772" w:rsidRDefault="00AE1D85" w:rsidP="003831C1">
      <w:pPr>
        <w:pStyle w:val="AS-P-Amend"/>
        <w:rPr>
          <w:rStyle w:val="AS-P-AmendChar"/>
          <w:b/>
        </w:rPr>
      </w:pPr>
      <w:r w:rsidRPr="00642772">
        <w:t xml:space="preserve">brought </w:t>
      </w:r>
      <w:r w:rsidR="000468C7" w:rsidRPr="00642772">
        <w:t xml:space="preserve">into force </w:t>
      </w:r>
      <w:r w:rsidRPr="00642772">
        <w:t xml:space="preserve">in South West Africa </w:t>
      </w:r>
      <w:r w:rsidR="000468C7" w:rsidRPr="00642772">
        <w:t>on</w:t>
      </w:r>
      <w:r w:rsidR="003831C1" w:rsidRPr="00642772">
        <w:t xml:space="preserve"> 29 August 1980 </w:t>
      </w:r>
      <w:r w:rsidR="003831C1" w:rsidRPr="00642772">
        <w:br/>
        <w:t>by RSA Proc. R.149</w:t>
      </w:r>
      <w:r w:rsidR="00DD1C78" w:rsidRPr="00642772">
        <w:t>/</w:t>
      </w:r>
      <w:r w:rsidR="003831C1" w:rsidRPr="00642772">
        <w:t>1980</w:t>
      </w:r>
      <w:r w:rsidR="000468C7" w:rsidRPr="00642772">
        <w:t xml:space="preserve"> </w:t>
      </w:r>
      <w:r w:rsidR="003831C1" w:rsidRPr="00642772">
        <w:rPr>
          <w:rStyle w:val="AS-P-AmendChar"/>
          <w:b/>
        </w:rPr>
        <w:t>(</w:t>
      </w:r>
      <w:r w:rsidR="003831C1" w:rsidRPr="00642772">
        <w:rPr>
          <w:rStyle w:val="AS-P-AmendChar"/>
          <w:rFonts w:eastAsiaTheme="minorHAnsi"/>
          <w:b/>
        </w:rPr>
        <w:t xml:space="preserve">RSA </w:t>
      </w:r>
      <w:r w:rsidR="003831C1" w:rsidRPr="00642772">
        <w:rPr>
          <w:rStyle w:val="AS-P-AmendChar"/>
          <w:b/>
        </w:rPr>
        <w:t xml:space="preserve">GG </w:t>
      </w:r>
      <w:r w:rsidR="003831C1" w:rsidRPr="00642772">
        <w:rPr>
          <w:rStyle w:val="AS-P-AmendChar"/>
          <w:rFonts w:eastAsiaTheme="minorHAnsi"/>
          <w:b/>
        </w:rPr>
        <w:t>7199</w:t>
      </w:r>
      <w:r w:rsidR="003831C1" w:rsidRPr="00642772">
        <w:rPr>
          <w:rStyle w:val="AS-P-AmendChar"/>
          <w:b/>
        </w:rPr>
        <w:t>)</w:t>
      </w:r>
      <w:r w:rsidR="000A21E7" w:rsidRPr="00642772">
        <w:rPr>
          <w:rStyle w:val="AS-P-AmendChar"/>
          <w:b/>
        </w:rPr>
        <w:t>, which inserted section 6A</w:t>
      </w:r>
    </w:p>
    <w:p w:rsidR="004F2274" w:rsidRPr="00642772" w:rsidRDefault="004F2274" w:rsidP="00F714C5">
      <w:pPr>
        <w:pStyle w:val="AS-P0"/>
        <w:rPr>
          <w:rStyle w:val="AS-P-AmendChar"/>
          <w:rFonts w:ascii="Times New Roman" w:hAnsi="Times New Roman" w:cs="Times New Roman"/>
          <w:b w:val="0"/>
          <w:color w:val="auto"/>
          <w:sz w:val="22"/>
          <w:szCs w:val="22"/>
        </w:rPr>
      </w:pPr>
    </w:p>
    <w:p w:rsidR="00B419BA" w:rsidRPr="00642772" w:rsidRDefault="00B419BA" w:rsidP="004F2274">
      <w:pPr>
        <w:pStyle w:val="AS-P-Amend"/>
        <w:jc w:val="both"/>
        <w:rPr>
          <w:color w:val="0070C0"/>
          <w:lang w:val="en-ZA"/>
        </w:rPr>
      </w:pPr>
      <w:r w:rsidRPr="00642772">
        <w:rPr>
          <w:color w:val="0070C0"/>
          <w:lang w:val="en-ZA"/>
        </w:rPr>
        <w:t>APPLICABILITY TO SOUTH WEST AFRICA:</w:t>
      </w:r>
      <w:r w:rsidRPr="00642772">
        <w:rPr>
          <w:b w:val="0"/>
          <w:color w:val="0070C0"/>
          <w:lang w:val="en-ZA"/>
        </w:rPr>
        <w:t xml:space="preserve"> </w:t>
      </w:r>
      <w:r w:rsidRPr="00642772">
        <w:rPr>
          <w:color w:val="0070C0"/>
          <w:lang w:val="en-ZA"/>
        </w:rPr>
        <w:t xml:space="preserve">Section 6A(1), inserted by </w:t>
      </w:r>
      <w:r w:rsidR="008516B2" w:rsidRPr="00642772">
        <w:rPr>
          <w:color w:val="0070C0"/>
          <w:lang w:val="en-ZA"/>
        </w:rPr>
        <w:t xml:space="preserve">RSA </w:t>
      </w:r>
      <w:r w:rsidRPr="00642772">
        <w:rPr>
          <w:color w:val="0070C0"/>
          <w:lang w:val="en-ZA"/>
        </w:rPr>
        <w:t>Proc</w:t>
      </w:r>
      <w:r w:rsidR="008516B2" w:rsidRPr="00642772">
        <w:rPr>
          <w:color w:val="0070C0"/>
          <w:lang w:val="en-ZA"/>
        </w:rPr>
        <w:t>. R.149 of 1980</w:t>
      </w:r>
      <w:r w:rsidR="008516B2" w:rsidRPr="00642772">
        <w:rPr>
          <w:i/>
          <w:color w:val="0070C0"/>
          <w:lang w:val="en-ZA"/>
        </w:rPr>
        <w:t xml:space="preserve"> </w:t>
      </w:r>
      <w:r w:rsidR="008516B2" w:rsidRPr="00642772">
        <w:rPr>
          <w:color w:val="0070C0"/>
          <w:lang w:val="en-ZA"/>
        </w:rPr>
        <w:t>with effect from 29 August 1980</w:t>
      </w:r>
      <w:r w:rsidRPr="00642772">
        <w:rPr>
          <w:color w:val="0070C0"/>
          <w:lang w:val="en-ZA"/>
        </w:rPr>
        <w:t xml:space="preserve">, states </w:t>
      </w:r>
      <w:r w:rsidRPr="00642772">
        <w:rPr>
          <w:b w:val="0"/>
          <w:color w:val="0070C0"/>
          <w:lang w:val="en-ZA"/>
        </w:rPr>
        <w:t>“This Act shall apply also in the Territory of South West Africa, including the Eastern Caprivi Zipfel.”</w:t>
      </w:r>
      <w:r w:rsidRPr="00642772">
        <w:rPr>
          <w:color w:val="0070C0"/>
          <w:lang w:val="en-ZA"/>
        </w:rPr>
        <w:t xml:space="preserve"> This wording did not make amendments to the Act after 29 August 1980 automatically applicable to South West Africa. However, in any event, </w:t>
      </w:r>
      <w:r w:rsidRPr="00642772">
        <w:rPr>
          <w:color w:val="0070C0"/>
        </w:rPr>
        <w:t>there were no amendments to the Act in South Africa after that date and prior to Namibian independence.</w:t>
      </w:r>
    </w:p>
    <w:p w:rsidR="00B419BA" w:rsidRPr="00642772" w:rsidRDefault="00B419BA" w:rsidP="004F2274">
      <w:pPr>
        <w:pStyle w:val="AS-P-Amend"/>
        <w:jc w:val="both"/>
        <w:rPr>
          <w:color w:val="0070C0"/>
        </w:rPr>
      </w:pPr>
    </w:p>
    <w:p w:rsidR="004F2274" w:rsidRPr="00642772" w:rsidRDefault="004F2274" w:rsidP="004F2274">
      <w:pPr>
        <w:pStyle w:val="AS-P-Amend"/>
        <w:jc w:val="both"/>
        <w:rPr>
          <w:color w:val="0070C0"/>
          <w:spacing w:val="-2"/>
        </w:rPr>
      </w:pPr>
      <w:r w:rsidRPr="00642772">
        <w:rPr>
          <w:color w:val="0070C0"/>
          <w:spacing w:val="-2"/>
        </w:rPr>
        <w:t xml:space="preserve">TRANSFER TO SOUTH WEST AFRICA: The Administrator-General acquired authority to administer this Act in South West Africa by virtue of RSA Proc. R.149 of 1980. This </w:t>
      </w:r>
      <w:r w:rsidR="008516B2" w:rsidRPr="00642772">
        <w:rPr>
          <w:color w:val="0070C0"/>
          <w:spacing w:val="-2"/>
        </w:rPr>
        <w:t xml:space="preserve">Proclamation </w:t>
      </w:r>
      <w:r w:rsidRPr="00642772">
        <w:rPr>
          <w:color w:val="0070C0"/>
          <w:spacing w:val="-2"/>
        </w:rPr>
        <w:t xml:space="preserve">did not qualify as a </w:t>
      </w:r>
      <w:r w:rsidRPr="00642772">
        <w:rPr>
          <w:b w:val="0"/>
          <w:color w:val="0070C0"/>
          <w:spacing w:val="-2"/>
        </w:rPr>
        <w:t>“transfer proclamation”</w:t>
      </w:r>
      <w:r w:rsidRPr="00642772">
        <w:rPr>
          <w:color w:val="0070C0"/>
          <w:spacing w:val="-2"/>
        </w:rPr>
        <w:t xml:space="preserve"> in terms of the Executive Powers Transfer (General Provisions) Proclamation, AG 7 of 1977, which defines “</w:t>
      </w:r>
      <w:r w:rsidRPr="00642772">
        <w:rPr>
          <w:b w:val="0"/>
          <w:color w:val="0070C0"/>
          <w:spacing w:val="-2"/>
        </w:rPr>
        <w:t>transfer proclamation</w:t>
      </w:r>
      <w:r w:rsidR="00DD1C78" w:rsidRPr="00642772">
        <w:rPr>
          <w:b w:val="0"/>
          <w:color w:val="0070C0"/>
          <w:spacing w:val="-2"/>
        </w:rPr>
        <w:t>”</w:t>
      </w:r>
      <w:r w:rsidRPr="00642772">
        <w:rPr>
          <w:color w:val="0070C0"/>
          <w:spacing w:val="-2"/>
        </w:rPr>
        <w:t xml:space="preserve"> in section 1 as “</w:t>
      </w:r>
      <w:r w:rsidRPr="00642772">
        <w:rPr>
          <w:b w:val="0"/>
          <w:color w:val="0070C0"/>
          <w:spacing w:val="-2"/>
        </w:rPr>
        <w:t xml:space="preserve">a proclamation </w:t>
      </w:r>
      <w:r w:rsidRPr="00642772">
        <w:rPr>
          <w:b w:val="0"/>
          <w:i/>
          <w:color w:val="0070C0"/>
          <w:spacing w:val="-2"/>
        </w:rPr>
        <w:t>by the Administrator-General</w:t>
      </w:r>
      <w:r w:rsidRPr="00642772">
        <w:rPr>
          <w:b w:val="0"/>
          <w:color w:val="0070C0"/>
          <w:spacing w:val="-2"/>
        </w:rPr>
        <w:t xml:space="preserve"> by which the administration of the affairs of the territory in relation to any matter is transferred from a Minister of the Republic to the Administrator-General</w:t>
      </w:r>
      <w:r w:rsidRPr="00642772">
        <w:rPr>
          <w:color w:val="0070C0"/>
          <w:spacing w:val="-2"/>
        </w:rPr>
        <w:t xml:space="preserve">” (emphasis added). Therefore, the </w:t>
      </w:r>
      <w:r w:rsidR="00DD1C78" w:rsidRPr="00642772">
        <w:rPr>
          <w:color w:val="0070C0"/>
          <w:lang w:val="en-ZA"/>
        </w:rPr>
        <w:t xml:space="preserve">Executive Powers Transfer (General Provisions) Proclamation, AG 7 of 1977, </w:t>
      </w:r>
      <w:r w:rsidRPr="00642772">
        <w:rPr>
          <w:color w:val="0070C0"/>
        </w:rPr>
        <w:t xml:space="preserve">was not applicable to this Act. In any event, there were no amendments to the Act in South Africa after </w:t>
      </w:r>
      <w:r w:rsidR="008516B2" w:rsidRPr="00642772">
        <w:rPr>
          <w:color w:val="0070C0"/>
          <w:lang w:val="en-ZA"/>
        </w:rPr>
        <w:t xml:space="preserve">the date when </w:t>
      </w:r>
      <w:r w:rsidR="008516B2" w:rsidRPr="00642772">
        <w:rPr>
          <w:color w:val="0070C0"/>
        </w:rPr>
        <w:t>RSA Proc. R.149 of 1980 came into force (</w:t>
      </w:r>
      <w:r w:rsidR="008516B2" w:rsidRPr="00642772">
        <w:rPr>
          <w:color w:val="0070C0"/>
          <w:lang w:val="en-ZA"/>
        </w:rPr>
        <w:t xml:space="preserve">29 August 1980) </w:t>
      </w:r>
      <w:r w:rsidRPr="00642772">
        <w:rPr>
          <w:color w:val="0070C0"/>
        </w:rPr>
        <w:t xml:space="preserve">and prior to Namibian independence. </w:t>
      </w:r>
    </w:p>
    <w:p w:rsidR="006737D3" w:rsidRPr="00642772" w:rsidRDefault="006737D3" w:rsidP="00AA41AD">
      <w:pPr>
        <w:pStyle w:val="AS-H1b"/>
      </w:pPr>
    </w:p>
    <w:p w:rsidR="006737D3" w:rsidRPr="00642772" w:rsidRDefault="008938F7" w:rsidP="00AA41AD">
      <w:pPr>
        <w:pStyle w:val="AS-H1b"/>
        <w:rPr>
          <w:rStyle w:val="AS-P-AmendChar"/>
          <w:rFonts w:eastAsiaTheme="minorHAnsi"/>
          <w:b/>
        </w:rPr>
      </w:pPr>
      <w:r w:rsidRPr="00642772">
        <w:rPr>
          <w:color w:val="00B050"/>
        </w:rPr>
        <w:t>as amended by</w:t>
      </w:r>
    </w:p>
    <w:p w:rsidR="006737D3" w:rsidRPr="00642772" w:rsidRDefault="006737D3" w:rsidP="00AA41AD">
      <w:pPr>
        <w:pStyle w:val="AS-H1b"/>
      </w:pPr>
    </w:p>
    <w:p w:rsidR="00415AA4" w:rsidRPr="00642772" w:rsidRDefault="00415AA4" w:rsidP="00415AA4">
      <w:pPr>
        <w:pStyle w:val="AS-H1b"/>
        <w:rPr>
          <w:rStyle w:val="AS-P-AmendChar"/>
          <w:rFonts w:eastAsiaTheme="minorHAnsi"/>
          <w:b/>
        </w:rPr>
      </w:pPr>
      <w:r w:rsidRPr="00642772">
        <w:t>General Law Amendment Act 80 of 1964</w:t>
      </w:r>
      <w:r w:rsidR="00AE1D85" w:rsidRPr="00642772">
        <w:t xml:space="preserve"> (RSA) </w:t>
      </w:r>
      <w:r w:rsidR="00226318" w:rsidRPr="00642772">
        <w:rPr>
          <w:rStyle w:val="AS-P-AmendChar"/>
          <w:rFonts w:eastAsiaTheme="minorHAnsi"/>
          <w:b/>
        </w:rPr>
        <w:t>(RSA GG 829)</w:t>
      </w:r>
    </w:p>
    <w:p w:rsidR="003831C1" w:rsidRPr="00642772" w:rsidRDefault="003831C1" w:rsidP="003831C1">
      <w:pPr>
        <w:pStyle w:val="AS-H1b"/>
      </w:pPr>
      <w:r w:rsidRPr="00642772">
        <w:rPr>
          <w:rStyle w:val="AS-P-AmendChar"/>
          <w:rFonts w:eastAsiaTheme="minorHAnsi"/>
          <w:b/>
        </w:rPr>
        <w:t>came into force on date of publication: 24 June 1964</w:t>
      </w:r>
    </w:p>
    <w:p w:rsidR="00415AA4" w:rsidRPr="00642772" w:rsidRDefault="00415AA4" w:rsidP="00415AA4">
      <w:pPr>
        <w:pStyle w:val="AS-H1b"/>
        <w:rPr>
          <w:rStyle w:val="AS-P-AmendChar"/>
          <w:rFonts w:eastAsiaTheme="minorHAnsi"/>
          <w:b/>
        </w:rPr>
      </w:pPr>
      <w:r w:rsidRPr="00642772">
        <w:t>General Law Amendment Act 102 of 1967</w:t>
      </w:r>
      <w:r w:rsidR="00AE1D85" w:rsidRPr="00642772">
        <w:t xml:space="preserve"> (RSA) </w:t>
      </w:r>
      <w:r w:rsidR="00AE1D85" w:rsidRPr="00642772">
        <w:rPr>
          <w:rStyle w:val="AS-P-AmendChar"/>
          <w:rFonts w:eastAsiaTheme="minorHAnsi"/>
          <w:b/>
        </w:rPr>
        <w:t>(RSA GG 1771)</w:t>
      </w:r>
    </w:p>
    <w:p w:rsidR="00B95422" w:rsidRPr="00642772" w:rsidRDefault="00B95422" w:rsidP="00415AA4">
      <w:pPr>
        <w:pStyle w:val="AS-H1b"/>
      </w:pPr>
      <w:r w:rsidRPr="00642772">
        <w:rPr>
          <w:rStyle w:val="AS-P-AmendChar"/>
          <w:rFonts w:eastAsiaTheme="minorHAnsi"/>
          <w:b/>
        </w:rPr>
        <w:t>came into force on date of publication: 21 June 1967</w:t>
      </w:r>
    </w:p>
    <w:p w:rsidR="008938F7" w:rsidRPr="00642772" w:rsidRDefault="00415AA4" w:rsidP="00226318">
      <w:pPr>
        <w:pStyle w:val="AS-H1b"/>
        <w:rPr>
          <w:rStyle w:val="AS-P-AmendChar"/>
          <w:rFonts w:eastAsiaTheme="minorHAnsi"/>
          <w:b/>
        </w:rPr>
      </w:pPr>
      <w:r w:rsidRPr="00642772">
        <w:t xml:space="preserve">Commissions Amendment Proclamation, </w:t>
      </w:r>
      <w:r w:rsidR="00226318" w:rsidRPr="00642772">
        <w:br/>
      </w:r>
      <w:r w:rsidRPr="00642772">
        <w:t>RSA Proc. R.149 of 1980</w:t>
      </w:r>
      <w:r w:rsidR="00226318" w:rsidRPr="00642772">
        <w:t xml:space="preserve"> </w:t>
      </w:r>
      <w:r w:rsidR="008938F7" w:rsidRPr="00642772">
        <w:rPr>
          <w:rStyle w:val="AS-P-AmendChar"/>
          <w:rFonts w:eastAsiaTheme="minorHAnsi"/>
          <w:b/>
        </w:rPr>
        <w:t>(</w:t>
      </w:r>
      <w:r w:rsidR="00226318" w:rsidRPr="00642772">
        <w:rPr>
          <w:rStyle w:val="AS-P-AmendChar"/>
          <w:rFonts w:eastAsiaTheme="minorHAnsi"/>
          <w:b/>
        </w:rPr>
        <w:t xml:space="preserve">RSA </w:t>
      </w:r>
      <w:r w:rsidR="008938F7" w:rsidRPr="00642772">
        <w:rPr>
          <w:rStyle w:val="AS-P-AmendChar"/>
          <w:rFonts w:eastAsiaTheme="minorHAnsi"/>
          <w:b/>
        </w:rPr>
        <w:t xml:space="preserve">GG </w:t>
      </w:r>
      <w:r w:rsidR="00226318" w:rsidRPr="00642772">
        <w:rPr>
          <w:rStyle w:val="AS-P-AmendChar"/>
          <w:rFonts w:eastAsiaTheme="minorHAnsi"/>
          <w:b/>
        </w:rPr>
        <w:t>7199</w:t>
      </w:r>
      <w:r w:rsidR="008938F7" w:rsidRPr="00642772">
        <w:rPr>
          <w:rStyle w:val="AS-P-AmendChar"/>
          <w:rFonts w:eastAsiaTheme="minorHAnsi"/>
          <w:b/>
        </w:rPr>
        <w:t>)</w:t>
      </w:r>
    </w:p>
    <w:p w:rsidR="00226318" w:rsidRPr="00642772" w:rsidRDefault="00226318" w:rsidP="00226318">
      <w:pPr>
        <w:pStyle w:val="AS-P-Amend"/>
      </w:pPr>
      <w:r w:rsidRPr="00642772">
        <w:t>under the authority of section 38 of the South West Africa Constitution Act 39 of 1968</w:t>
      </w:r>
      <w:r w:rsidR="000A21E7" w:rsidRPr="00642772">
        <w:t xml:space="preserve">; </w:t>
      </w:r>
    </w:p>
    <w:p w:rsidR="003831C1" w:rsidRPr="00642772" w:rsidRDefault="003831C1" w:rsidP="00226318">
      <w:pPr>
        <w:pStyle w:val="AS-P-Amend"/>
      </w:pPr>
      <w:r w:rsidRPr="00642772">
        <w:rPr>
          <w:rStyle w:val="AS-P-AmendChar"/>
          <w:rFonts w:eastAsiaTheme="minorHAnsi"/>
          <w:b/>
        </w:rPr>
        <w:t xml:space="preserve">came into force on date of publication: </w:t>
      </w:r>
      <w:r w:rsidRPr="00642772">
        <w:t>29 August 1980</w:t>
      </w:r>
    </w:p>
    <w:p w:rsidR="008938F7" w:rsidRPr="00642772" w:rsidRDefault="008938F7" w:rsidP="009F7600">
      <w:pPr>
        <w:pStyle w:val="AS-H1a"/>
        <w:pBdr>
          <w:between w:val="single" w:sz="4" w:space="1" w:color="auto"/>
        </w:pBdr>
      </w:pPr>
    </w:p>
    <w:p w:rsidR="008938F7" w:rsidRPr="00642772" w:rsidRDefault="008938F7" w:rsidP="009F7600">
      <w:pPr>
        <w:pStyle w:val="AS-H1a"/>
        <w:pBdr>
          <w:between w:val="single" w:sz="4" w:space="1" w:color="auto"/>
        </w:pBdr>
      </w:pPr>
    </w:p>
    <w:p w:rsidR="008938F7" w:rsidRPr="00642772" w:rsidRDefault="007D662E" w:rsidP="008938F7">
      <w:pPr>
        <w:pStyle w:val="AS-H1a"/>
      </w:pPr>
      <w:r w:rsidRPr="00642772">
        <w:t>ACT</w:t>
      </w:r>
    </w:p>
    <w:p w:rsidR="008938F7" w:rsidRPr="00642772" w:rsidRDefault="008938F7" w:rsidP="008938F7"/>
    <w:p w:rsidR="00115E04" w:rsidRPr="00642772" w:rsidRDefault="00115E04" w:rsidP="00115E04">
      <w:pPr>
        <w:pStyle w:val="AS-P0"/>
      </w:pPr>
      <w:r w:rsidRPr="00642772">
        <w:rPr>
          <w:b/>
        </w:rPr>
        <w:t>To make provision for conferring certain powers on commissions appointed by the Governor-General for the purpose of investigating matters of public concern, and to provide for matters incidental thereto.</w:t>
      </w:r>
    </w:p>
    <w:p w:rsidR="00115E04" w:rsidRPr="00642772" w:rsidRDefault="00115E04" w:rsidP="00115E04">
      <w:pPr>
        <w:pStyle w:val="AS-P0"/>
      </w:pPr>
    </w:p>
    <w:p w:rsidR="00115E04" w:rsidRPr="00642772" w:rsidRDefault="00115E04" w:rsidP="00876300">
      <w:pPr>
        <w:pStyle w:val="AS-P0"/>
        <w:jc w:val="center"/>
        <w:rPr>
          <w:i/>
        </w:rPr>
      </w:pPr>
      <w:r w:rsidRPr="00642772">
        <w:rPr>
          <w:i/>
        </w:rPr>
        <w:t>(Afrikaans Text signed by the Governor-General)</w:t>
      </w:r>
    </w:p>
    <w:p w:rsidR="00143E17" w:rsidRPr="00642772" w:rsidRDefault="00115E04" w:rsidP="00876300">
      <w:pPr>
        <w:pStyle w:val="AS-P0"/>
        <w:jc w:val="center"/>
        <w:rPr>
          <w:b/>
          <w:i/>
        </w:rPr>
      </w:pPr>
      <w:r w:rsidRPr="00642772">
        <w:rPr>
          <w:i/>
        </w:rPr>
        <w:t xml:space="preserve">(Assented to </w:t>
      </w:r>
      <w:r w:rsidRPr="00642772">
        <w:t>1</w:t>
      </w:r>
      <w:r w:rsidRPr="00642772">
        <w:rPr>
          <w:i/>
        </w:rPr>
        <w:t xml:space="preserve">st April, </w:t>
      </w:r>
      <w:r w:rsidRPr="00642772">
        <w:t>1947)</w:t>
      </w:r>
    </w:p>
    <w:p w:rsidR="005955EA" w:rsidRPr="00642772" w:rsidRDefault="005955EA" w:rsidP="00E1254C">
      <w:pPr>
        <w:pStyle w:val="AS-H1a"/>
        <w:pBdr>
          <w:bottom w:val="single" w:sz="4" w:space="1" w:color="auto"/>
          <w:between w:val="single" w:sz="4" w:space="1" w:color="auto"/>
        </w:pBdr>
        <w:rPr>
          <w:sz w:val="34"/>
        </w:rPr>
      </w:pPr>
    </w:p>
    <w:p w:rsidR="005955EA" w:rsidRPr="00642772" w:rsidRDefault="005955EA" w:rsidP="005B23AF">
      <w:pPr>
        <w:pStyle w:val="AS-H1a"/>
        <w:pBdr>
          <w:between w:val="single" w:sz="4" w:space="1" w:color="auto"/>
        </w:pBdr>
        <w:rPr>
          <w:sz w:val="34"/>
        </w:rPr>
      </w:pPr>
    </w:p>
    <w:p w:rsidR="008938F7" w:rsidRPr="00642772" w:rsidRDefault="008938F7" w:rsidP="00761937">
      <w:pPr>
        <w:pStyle w:val="AS-H2"/>
        <w:rPr>
          <w:color w:val="00B050"/>
        </w:rPr>
      </w:pPr>
      <w:r w:rsidRPr="00642772">
        <w:rPr>
          <w:color w:val="00B050"/>
        </w:rPr>
        <w:t>ARRANGEMENT OF SECTIONS</w:t>
      </w:r>
    </w:p>
    <w:p w:rsidR="008938F7" w:rsidRPr="00642772" w:rsidRDefault="008938F7" w:rsidP="005B23AF">
      <w:pPr>
        <w:pStyle w:val="AS-P0"/>
        <w:rPr>
          <w:color w:val="00B050"/>
        </w:rPr>
      </w:pPr>
    </w:p>
    <w:p w:rsidR="008604B2" w:rsidRPr="00642772" w:rsidRDefault="00956BB1" w:rsidP="006541DD">
      <w:pPr>
        <w:pStyle w:val="AS-P0"/>
        <w:ind w:left="567" w:hanging="567"/>
        <w:rPr>
          <w:color w:val="00B050"/>
        </w:rPr>
      </w:pPr>
      <w:r w:rsidRPr="00642772">
        <w:rPr>
          <w:color w:val="00B050"/>
        </w:rPr>
        <w:t>1.</w:t>
      </w:r>
      <w:r w:rsidRPr="00642772">
        <w:rPr>
          <w:color w:val="00B050"/>
        </w:rPr>
        <w:tab/>
      </w:r>
      <w:r w:rsidR="00CF30C1" w:rsidRPr="00642772">
        <w:rPr>
          <w:color w:val="00B050"/>
          <w:spacing w:val="-2"/>
        </w:rPr>
        <w:t>Application</w:t>
      </w:r>
      <w:r w:rsidR="00741F58" w:rsidRPr="00642772">
        <w:rPr>
          <w:color w:val="00B050"/>
          <w:spacing w:val="-2"/>
        </w:rPr>
        <w:t xml:space="preserve"> </w:t>
      </w:r>
      <w:r w:rsidR="00CF30C1" w:rsidRPr="00642772">
        <w:rPr>
          <w:color w:val="00B050"/>
          <w:spacing w:val="-2"/>
        </w:rPr>
        <w:t>of this Act with reference to commissions appointed by</w:t>
      </w:r>
      <w:r w:rsidR="0064300C" w:rsidRPr="00642772">
        <w:rPr>
          <w:color w:val="00B050"/>
          <w:spacing w:val="-2"/>
        </w:rPr>
        <w:t xml:space="preserve"> </w:t>
      </w:r>
      <w:r w:rsidR="00CF30C1" w:rsidRPr="00642772">
        <w:rPr>
          <w:color w:val="00B050"/>
          <w:spacing w:val="-2"/>
        </w:rPr>
        <w:t>the Governor-General</w:t>
      </w:r>
    </w:p>
    <w:p w:rsidR="00956BB1" w:rsidRPr="00642772" w:rsidRDefault="00956BB1" w:rsidP="006541DD">
      <w:pPr>
        <w:pStyle w:val="AS-P0"/>
        <w:ind w:left="567" w:hanging="567"/>
        <w:rPr>
          <w:color w:val="00B050"/>
        </w:rPr>
      </w:pPr>
      <w:r w:rsidRPr="00642772">
        <w:rPr>
          <w:color w:val="00B050"/>
        </w:rPr>
        <w:t>2.</w:t>
      </w:r>
      <w:r w:rsidRPr="00642772">
        <w:rPr>
          <w:color w:val="00B050"/>
        </w:rPr>
        <w:tab/>
      </w:r>
      <w:r w:rsidR="005536D7" w:rsidRPr="00642772">
        <w:rPr>
          <w:color w:val="00B050"/>
        </w:rPr>
        <w:t>Commission</w:t>
      </w:r>
      <w:r w:rsidR="006541DD" w:rsidRPr="00642772">
        <w:rPr>
          <w:color w:val="00B050"/>
        </w:rPr>
        <w:t>’</w:t>
      </w:r>
      <w:r w:rsidR="005536D7" w:rsidRPr="00642772">
        <w:rPr>
          <w:color w:val="00B050"/>
        </w:rPr>
        <w:t>s</w:t>
      </w:r>
      <w:r w:rsidR="006541DD" w:rsidRPr="00642772">
        <w:rPr>
          <w:color w:val="00B050"/>
        </w:rPr>
        <w:t xml:space="preserve"> </w:t>
      </w:r>
      <w:r w:rsidR="005536D7" w:rsidRPr="00642772">
        <w:rPr>
          <w:color w:val="00B050"/>
        </w:rPr>
        <w:t>sittings</w:t>
      </w:r>
    </w:p>
    <w:p w:rsidR="00143E17" w:rsidRPr="00642772" w:rsidRDefault="005536D7" w:rsidP="006541DD">
      <w:pPr>
        <w:pStyle w:val="AS-P0"/>
        <w:ind w:left="567" w:hanging="567"/>
        <w:rPr>
          <w:color w:val="00B050"/>
        </w:rPr>
      </w:pPr>
      <w:r w:rsidRPr="00642772">
        <w:rPr>
          <w:color w:val="00B050"/>
        </w:rPr>
        <w:t>3.</w:t>
      </w:r>
      <w:r w:rsidRPr="00642772">
        <w:rPr>
          <w:color w:val="00B050"/>
        </w:rPr>
        <w:tab/>
        <w:t>Commission</w:t>
      </w:r>
      <w:r w:rsidR="006C570C" w:rsidRPr="00642772">
        <w:rPr>
          <w:color w:val="00B050"/>
        </w:rPr>
        <w:t>’</w:t>
      </w:r>
      <w:r w:rsidRPr="00642772">
        <w:rPr>
          <w:color w:val="00B050"/>
        </w:rPr>
        <w:t xml:space="preserve">s powers </w:t>
      </w:r>
      <w:r w:rsidR="0065606C" w:rsidRPr="00642772">
        <w:rPr>
          <w:color w:val="00B050"/>
        </w:rPr>
        <w:t>as</w:t>
      </w:r>
      <w:r w:rsidRPr="00642772">
        <w:rPr>
          <w:color w:val="00B050"/>
        </w:rPr>
        <w:t xml:space="preserve"> to witnesses</w:t>
      </w:r>
    </w:p>
    <w:p w:rsidR="0065606C" w:rsidRPr="00642772" w:rsidRDefault="0065606C" w:rsidP="006541DD">
      <w:pPr>
        <w:pStyle w:val="AS-P0"/>
        <w:ind w:left="567" w:hanging="567"/>
        <w:rPr>
          <w:color w:val="00B050"/>
        </w:rPr>
      </w:pPr>
      <w:r w:rsidRPr="00642772">
        <w:rPr>
          <w:color w:val="00B050"/>
        </w:rPr>
        <w:t>4.</w:t>
      </w:r>
      <w:r w:rsidRPr="00642772">
        <w:rPr>
          <w:color w:val="00B050"/>
        </w:rPr>
        <w:tab/>
        <w:t>Sittings to be public</w:t>
      </w:r>
    </w:p>
    <w:p w:rsidR="003727E9" w:rsidRPr="00642772" w:rsidRDefault="003727E9" w:rsidP="006541DD">
      <w:pPr>
        <w:pStyle w:val="AS-P0"/>
        <w:ind w:left="567" w:hanging="567"/>
        <w:rPr>
          <w:color w:val="00B050"/>
        </w:rPr>
      </w:pPr>
      <w:r w:rsidRPr="00642772">
        <w:rPr>
          <w:color w:val="00B050"/>
        </w:rPr>
        <w:t>5.</w:t>
      </w:r>
      <w:r w:rsidRPr="00642772">
        <w:rPr>
          <w:color w:val="00B050"/>
        </w:rPr>
        <w:tab/>
        <w:t>Hindering or obstructing a commission</w:t>
      </w:r>
    </w:p>
    <w:p w:rsidR="003D3101" w:rsidRPr="00642772" w:rsidRDefault="003D3101" w:rsidP="006541DD">
      <w:pPr>
        <w:pStyle w:val="AS-P0"/>
        <w:ind w:left="567" w:hanging="567"/>
        <w:rPr>
          <w:color w:val="00B050"/>
        </w:rPr>
      </w:pPr>
      <w:r w:rsidRPr="00642772">
        <w:rPr>
          <w:color w:val="00B050"/>
        </w:rPr>
        <w:t>6.</w:t>
      </w:r>
      <w:r w:rsidRPr="00642772">
        <w:rPr>
          <w:color w:val="00B050"/>
        </w:rPr>
        <w:tab/>
        <w:t>Offences</w:t>
      </w:r>
      <w:r w:rsidR="00AA0BC7" w:rsidRPr="00642772">
        <w:rPr>
          <w:color w:val="00B050"/>
        </w:rPr>
        <w:t xml:space="preserve"> </w:t>
      </w:r>
      <w:r w:rsidRPr="00642772">
        <w:rPr>
          <w:color w:val="00B050"/>
        </w:rPr>
        <w:t>by witnesses</w:t>
      </w:r>
    </w:p>
    <w:p w:rsidR="00D87E89" w:rsidRPr="00642772" w:rsidRDefault="00D87E89" w:rsidP="00D87E89">
      <w:pPr>
        <w:pStyle w:val="AS-P0"/>
        <w:rPr>
          <w:color w:val="00B050"/>
        </w:rPr>
      </w:pPr>
      <w:r w:rsidRPr="00642772">
        <w:rPr>
          <w:color w:val="00B050"/>
        </w:rPr>
        <w:t>6A.</w:t>
      </w:r>
      <w:r w:rsidRPr="00642772">
        <w:rPr>
          <w:color w:val="00B050"/>
        </w:rPr>
        <w:tab/>
        <w:t>Application of this Act in South West Africa</w:t>
      </w:r>
    </w:p>
    <w:p w:rsidR="00E82178" w:rsidRPr="00642772" w:rsidRDefault="00E82178" w:rsidP="006541DD">
      <w:pPr>
        <w:pStyle w:val="AS-P0"/>
        <w:ind w:left="567" w:hanging="567"/>
        <w:rPr>
          <w:color w:val="00B050"/>
        </w:rPr>
      </w:pPr>
      <w:r w:rsidRPr="00642772">
        <w:rPr>
          <w:color w:val="00B050"/>
        </w:rPr>
        <w:t>7.</w:t>
      </w:r>
      <w:r w:rsidRPr="00642772">
        <w:rPr>
          <w:color w:val="00B050"/>
        </w:rPr>
        <w:tab/>
        <w:t>Short title</w:t>
      </w:r>
    </w:p>
    <w:p w:rsidR="00714BA2" w:rsidRPr="00642772" w:rsidRDefault="00714BA2" w:rsidP="00EC2911">
      <w:pPr>
        <w:pStyle w:val="AS-P0"/>
        <w:rPr>
          <w:sz w:val="20"/>
        </w:rPr>
      </w:pPr>
    </w:p>
    <w:p w:rsidR="00EC2911" w:rsidRPr="00642772" w:rsidRDefault="00EC2911" w:rsidP="00EC2911">
      <w:pPr>
        <w:pStyle w:val="AS-P0"/>
        <w:rPr>
          <w:sz w:val="20"/>
        </w:rPr>
      </w:pPr>
    </w:p>
    <w:p w:rsidR="00EC2911" w:rsidRPr="00642772" w:rsidRDefault="00EC2911" w:rsidP="00EC2911">
      <w:pPr>
        <w:pStyle w:val="AS-P0"/>
      </w:pPr>
      <w:r w:rsidRPr="00642772">
        <w:rPr>
          <w:spacing w:val="-2"/>
        </w:rPr>
        <w:t xml:space="preserve">BE IT ENACTED by the King’s Most Excellent Majesty, the Senate and the House of Assembly </w:t>
      </w:r>
      <w:r w:rsidRPr="00642772">
        <w:t>of the Union of</w:t>
      </w:r>
      <w:r w:rsidR="002F0E06" w:rsidRPr="00642772">
        <w:t xml:space="preserve"> </w:t>
      </w:r>
      <w:r w:rsidRPr="00642772">
        <w:t>South Africa, as follows:-</w:t>
      </w:r>
    </w:p>
    <w:p w:rsidR="00EC2911" w:rsidRPr="00642772" w:rsidRDefault="00EC2911" w:rsidP="00EC2911">
      <w:pPr>
        <w:pStyle w:val="AS-P0"/>
      </w:pPr>
    </w:p>
    <w:p w:rsidR="009B0E56" w:rsidRPr="00642772" w:rsidRDefault="004D2F3F" w:rsidP="004D2F3F">
      <w:pPr>
        <w:pStyle w:val="AS-P-Amend"/>
        <w:rPr>
          <w:lang w:val="en-ZA"/>
        </w:rPr>
      </w:pPr>
      <w:r w:rsidRPr="00642772">
        <w:t>[</w:t>
      </w:r>
      <w:r w:rsidRPr="00642772">
        <w:rPr>
          <w:lang w:val="en-ZA"/>
        </w:rPr>
        <w:t xml:space="preserve">The Republic of South Africa Constitution Act 32 of 1961 provided in Article 3 that as from </w:t>
      </w:r>
      <w:r w:rsidRPr="00642772">
        <w:rPr>
          <w:lang w:val="en-ZA"/>
        </w:rPr>
        <w:br/>
        <w:t>31 May 1961, any reference to the Union of South Africa in any law in force in the Union of South Africa or in any other territory in respect of which Parliament is competent to legislate shall be construed as a reference to the Republic, and a reference to the Governor-General shall be construed as a reference to the Republic or the State President as the circumstances may require.]</w:t>
      </w:r>
    </w:p>
    <w:p w:rsidR="009B0E56" w:rsidRPr="00642772" w:rsidRDefault="009B0E56" w:rsidP="00EC2911">
      <w:pPr>
        <w:pStyle w:val="AS-P0"/>
      </w:pPr>
    </w:p>
    <w:p w:rsidR="000320DC" w:rsidRPr="00642772" w:rsidRDefault="000320DC" w:rsidP="00EC2911">
      <w:pPr>
        <w:pStyle w:val="AS-P0"/>
        <w:rPr>
          <w:b/>
        </w:rPr>
      </w:pPr>
      <w:r w:rsidRPr="00642772">
        <w:rPr>
          <w:b/>
        </w:rPr>
        <w:t>Application of this Act with reference to commissions appointed by the Governor-General</w:t>
      </w:r>
    </w:p>
    <w:p w:rsidR="000320DC" w:rsidRPr="00642772" w:rsidRDefault="000320DC" w:rsidP="00EC2911">
      <w:pPr>
        <w:pStyle w:val="AS-P0"/>
      </w:pPr>
    </w:p>
    <w:p w:rsidR="003831C1" w:rsidRPr="00642772" w:rsidRDefault="00EC2911" w:rsidP="003831C1">
      <w:pPr>
        <w:pStyle w:val="AS-P1"/>
        <w:rPr>
          <w:i/>
        </w:rPr>
      </w:pPr>
      <w:r w:rsidRPr="00642772">
        <w:rPr>
          <w:b/>
        </w:rPr>
        <w:t>1.</w:t>
      </w:r>
      <w:r w:rsidRPr="00642772">
        <w:tab/>
      </w:r>
      <w:r w:rsidR="003831C1" w:rsidRPr="00642772">
        <w:t>(1)</w:t>
      </w:r>
      <w:r w:rsidR="003831C1" w:rsidRPr="00642772">
        <w:tab/>
      </w:r>
      <w:r w:rsidRPr="00642772">
        <w:t xml:space="preserve">Whenever the Governor-General </w:t>
      </w:r>
      <w:r w:rsidR="00D87E89" w:rsidRPr="00642772">
        <w:t>or the Administrator-General</w:t>
      </w:r>
      <w:r w:rsidR="003054C8" w:rsidRPr="00642772">
        <w:t xml:space="preserve"> </w:t>
      </w:r>
      <w:r w:rsidRPr="00642772">
        <w:t xml:space="preserve">has, before or after the commencement of this Act, appointed a commission (hereinafter referred to as a “commission”) for the purpose of investigating a matter of public concern, he may by proclamation in the </w:t>
      </w:r>
      <w:r w:rsidRPr="00642772">
        <w:rPr>
          <w:i/>
        </w:rPr>
        <w:t xml:space="preserve">Gazette </w:t>
      </w:r>
    </w:p>
    <w:p w:rsidR="003831C1" w:rsidRPr="00642772" w:rsidRDefault="003831C1" w:rsidP="003831C1">
      <w:pPr>
        <w:pStyle w:val="AS-P1"/>
        <w:rPr>
          <w:i/>
        </w:rPr>
      </w:pPr>
    </w:p>
    <w:p w:rsidR="003054C8" w:rsidRPr="00642772" w:rsidRDefault="00D87E89" w:rsidP="00D87E89">
      <w:pPr>
        <w:pStyle w:val="AS-P-Amend"/>
      </w:pPr>
      <w:r w:rsidRPr="00642772">
        <w:t>[</w:t>
      </w:r>
      <w:r w:rsidR="003054C8" w:rsidRPr="00642772">
        <w:t xml:space="preserve">The </w:t>
      </w:r>
      <w:r w:rsidRPr="00642772">
        <w:t xml:space="preserve">introductory </w:t>
      </w:r>
      <w:r w:rsidR="00086164" w:rsidRPr="00642772">
        <w:t xml:space="preserve">phrase </w:t>
      </w:r>
      <w:r w:rsidRPr="00642772">
        <w:t xml:space="preserve">of subsection (1) </w:t>
      </w:r>
      <w:r w:rsidR="00086164" w:rsidRPr="00642772">
        <w:t xml:space="preserve">is </w:t>
      </w:r>
      <w:r w:rsidRPr="00642772">
        <w:t>“deemed to be amended”</w:t>
      </w:r>
      <w:r w:rsidR="003054C8" w:rsidRPr="00642772">
        <w:t xml:space="preserve"> </w:t>
      </w:r>
      <w:r w:rsidR="003054C8" w:rsidRPr="00642772">
        <w:br/>
      </w:r>
      <w:r w:rsidRPr="00642772">
        <w:t>by section 6A(2) of this Act, inserted by RSA Proc. R.149 of 1980</w:t>
      </w:r>
      <w:r w:rsidR="003054C8" w:rsidRPr="00642772">
        <w:t>.</w:t>
      </w:r>
      <w:r w:rsidR="009B0E56" w:rsidRPr="00642772">
        <w:t>]</w:t>
      </w:r>
    </w:p>
    <w:p w:rsidR="003054C8" w:rsidRPr="00642772" w:rsidRDefault="003054C8" w:rsidP="00D87E89">
      <w:pPr>
        <w:pStyle w:val="AS-P-Amend"/>
      </w:pPr>
    </w:p>
    <w:p w:rsidR="003831C1" w:rsidRPr="00642772" w:rsidRDefault="003831C1" w:rsidP="003831C1">
      <w:pPr>
        <w:pStyle w:val="AS-Pa"/>
      </w:pPr>
      <w:r w:rsidRPr="00642772">
        <w:t xml:space="preserve">(a) </w:t>
      </w:r>
      <w:r w:rsidRPr="00642772">
        <w:tab/>
        <w:t>declare the provisions of this Act or any other law to be applicable with reference to such commission, subject to such modifications and exceptions as he may specify in such proclamation; and</w:t>
      </w:r>
    </w:p>
    <w:p w:rsidR="003831C1" w:rsidRPr="00642772" w:rsidRDefault="003831C1" w:rsidP="003831C1">
      <w:pPr>
        <w:pStyle w:val="AS-P1"/>
      </w:pPr>
    </w:p>
    <w:p w:rsidR="003831C1" w:rsidRPr="00642772" w:rsidRDefault="003831C1" w:rsidP="003831C1">
      <w:pPr>
        <w:pStyle w:val="AS-P-Amend"/>
      </w:pPr>
      <w:r w:rsidRPr="00642772">
        <w:t>[paragraph (a) inserted by Act 80 of 1964]</w:t>
      </w:r>
    </w:p>
    <w:p w:rsidR="003831C1" w:rsidRPr="00642772" w:rsidRDefault="003831C1" w:rsidP="003831C1">
      <w:pPr>
        <w:pStyle w:val="AS-P1"/>
      </w:pPr>
    </w:p>
    <w:p w:rsidR="003831C1" w:rsidRPr="00642772" w:rsidRDefault="006263DB" w:rsidP="003831C1">
      <w:pPr>
        <w:pStyle w:val="AS-P1"/>
      </w:pPr>
      <w:r w:rsidRPr="00642772">
        <w:t xml:space="preserve">(b) </w:t>
      </w:r>
      <w:r w:rsidRPr="00642772">
        <w:tab/>
        <w:t>make regulations with reference to such commission ­</w:t>
      </w:r>
    </w:p>
    <w:p w:rsidR="006263DB" w:rsidRPr="00642772" w:rsidRDefault="006263DB" w:rsidP="003831C1">
      <w:pPr>
        <w:pStyle w:val="AS-P1"/>
      </w:pPr>
    </w:p>
    <w:p w:rsidR="006263DB" w:rsidRPr="00642772" w:rsidRDefault="006263DB" w:rsidP="006263DB">
      <w:pPr>
        <w:pStyle w:val="AS-Pi"/>
      </w:pPr>
      <w:r w:rsidRPr="00642772">
        <w:t xml:space="preserve">(i) </w:t>
      </w:r>
      <w:r w:rsidRPr="00642772">
        <w:tab/>
        <w:t>conferring additional powers on the commission;</w:t>
      </w:r>
    </w:p>
    <w:p w:rsidR="006263DB" w:rsidRPr="00642772" w:rsidRDefault="006263DB" w:rsidP="006263DB">
      <w:pPr>
        <w:pStyle w:val="AS-Pi"/>
      </w:pPr>
    </w:p>
    <w:p w:rsidR="006263DB" w:rsidRPr="00642772" w:rsidRDefault="006263DB" w:rsidP="006263DB">
      <w:pPr>
        <w:pStyle w:val="AS-Pi"/>
      </w:pPr>
      <w:r w:rsidRPr="00642772">
        <w:t xml:space="preserve">(ii) </w:t>
      </w:r>
      <w:r w:rsidRPr="00642772">
        <w:tab/>
        <w:t xml:space="preserve">providing for the manner of holding or the procedure to be followed at the investigation or for the preservation of secrecy; </w:t>
      </w:r>
    </w:p>
    <w:p w:rsidR="006263DB" w:rsidRPr="00642772" w:rsidRDefault="006263DB" w:rsidP="006263DB">
      <w:pPr>
        <w:pStyle w:val="AS-Pi"/>
      </w:pPr>
    </w:p>
    <w:p w:rsidR="006263DB" w:rsidRPr="00642772" w:rsidRDefault="006263DB" w:rsidP="006263DB">
      <w:pPr>
        <w:pStyle w:val="AS-Pi"/>
      </w:pPr>
      <w:r w:rsidRPr="00642772">
        <w:t xml:space="preserve">(iii) </w:t>
      </w:r>
      <w:r w:rsidRPr="00642772">
        <w:tab/>
        <w:t xml:space="preserve">which he may deem necessary or expedient to prevent the commission or a member of the commission from being insulted, disparaged or belittled or to </w:t>
      </w:r>
      <w:r w:rsidRPr="00642772">
        <w:rPr>
          <w:spacing w:val="-2"/>
        </w:rPr>
        <w:t>prevent the proceedings or findings of the commission from being prejudiced,</w:t>
      </w:r>
      <w:r w:rsidRPr="00642772">
        <w:t xml:space="preserve"> influenced or anticipated;</w:t>
      </w:r>
    </w:p>
    <w:p w:rsidR="006263DB" w:rsidRPr="00642772" w:rsidRDefault="006263DB" w:rsidP="006263DB">
      <w:pPr>
        <w:pStyle w:val="AS-Pi"/>
      </w:pPr>
    </w:p>
    <w:p w:rsidR="006263DB" w:rsidRPr="00642772" w:rsidRDefault="006263DB" w:rsidP="006263DB">
      <w:pPr>
        <w:pStyle w:val="AS-Pi"/>
      </w:pPr>
      <w:r w:rsidRPr="00642772">
        <w:t>(iv)</w:t>
      </w:r>
      <w:r w:rsidRPr="00642772">
        <w:tab/>
        <w:t>providing generally for all matters which he considers it necessary or expedient to prescribe for the purposes of the investigation.</w:t>
      </w:r>
    </w:p>
    <w:p w:rsidR="006263DB" w:rsidRPr="00642772" w:rsidRDefault="006263DB" w:rsidP="006263DB">
      <w:pPr>
        <w:pStyle w:val="AS-P1"/>
      </w:pPr>
    </w:p>
    <w:p w:rsidR="003831C1" w:rsidRPr="00642772" w:rsidRDefault="003831C1" w:rsidP="003831C1">
      <w:pPr>
        <w:pStyle w:val="AS-P-Amend"/>
      </w:pPr>
      <w:r w:rsidRPr="00642772">
        <w:t>[paragraph (b) inserted by Act 80 of 1964</w:t>
      </w:r>
      <w:r w:rsidR="006263DB" w:rsidRPr="00642772">
        <w:t xml:space="preserve"> and substituted by Act 102 of 1967</w:t>
      </w:r>
      <w:r w:rsidRPr="00642772">
        <w:t>]</w:t>
      </w:r>
    </w:p>
    <w:p w:rsidR="003831C1" w:rsidRPr="00642772" w:rsidRDefault="003831C1" w:rsidP="003831C1">
      <w:pPr>
        <w:pStyle w:val="AS-P1"/>
      </w:pPr>
    </w:p>
    <w:p w:rsidR="006263DB" w:rsidRPr="00642772" w:rsidRDefault="006263DB" w:rsidP="006263DB">
      <w:pPr>
        <w:pStyle w:val="AS-P1"/>
      </w:pPr>
      <w:r w:rsidRPr="00642772">
        <w:t xml:space="preserve">(2) </w:t>
      </w:r>
      <w:r w:rsidR="00F7633C" w:rsidRPr="00642772">
        <w:tab/>
      </w:r>
      <w:r w:rsidRPr="00642772">
        <w:t>Any regulation made under paragraph (b) of subsection (</w:t>
      </w:r>
      <w:r w:rsidR="00AB67CC" w:rsidRPr="00642772">
        <w:t>1</w:t>
      </w:r>
      <w:r w:rsidRPr="00642772">
        <w:t>) may provide for penalties for any contravention thereof or failure to comply therewith, by way of ­</w:t>
      </w:r>
    </w:p>
    <w:p w:rsidR="006263DB" w:rsidRPr="00642772" w:rsidRDefault="006263DB" w:rsidP="006263DB">
      <w:pPr>
        <w:pStyle w:val="AS-P1"/>
      </w:pPr>
    </w:p>
    <w:p w:rsidR="006263DB" w:rsidRPr="00642772" w:rsidRDefault="006263DB" w:rsidP="006263DB">
      <w:pPr>
        <w:pStyle w:val="AS-Pa"/>
      </w:pPr>
      <w:r w:rsidRPr="00642772">
        <w:t xml:space="preserve">(a) </w:t>
      </w:r>
      <w:r w:rsidRPr="00642772">
        <w:tab/>
        <w:t>in the case of a regulation referred to in subparagraph (i), (ii) or (iv) of the said paragraph, a fine not exceeding two hundred rand or imprisonment for a period not exceeding six months;</w:t>
      </w:r>
    </w:p>
    <w:p w:rsidR="006263DB" w:rsidRPr="00642772" w:rsidRDefault="006263DB" w:rsidP="006263DB">
      <w:pPr>
        <w:pStyle w:val="AS-Pa"/>
      </w:pPr>
    </w:p>
    <w:p w:rsidR="006263DB" w:rsidRPr="00642772" w:rsidRDefault="006263DB" w:rsidP="006263DB">
      <w:pPr>
        <w:pStyle w:val="AS-Pa"/>
      </w:pPr>
      <w:r w:rsidRPr="00642772">
        <w:t xml:space="preserve">(b) </w:t>
      </w:r>
      <w:r w:rsidRPr="00642772">
        <w:tab/>
        <w:t>in the case of a regulation referred to in subparagraph (iii) of the said paragraph, a fine not exceeding one thousand rand or imprisonment for a period not exceeding one year.</w:t>
      </w:r>
    </w:p>
    <w:p w:rsidR="006263DB" w:rsidRPr="00642772" w:rsidRDefault="006263DB" w:rsidP="003831C1">
      <w:pPr>
        <w:pStyle w:val="AS-P-Amend"/>
      </w:pPr>
    </w:p>
    <w:p w:rsidR="003831C1" w:rsidRPr="00642772" w:rsidRDefault="003831C1" w:rsidP="003831C1">
      <w:pPr>
        <w:pStyle w:val="AS-P-Amend"/>
      </w:pPr>
      <w:r w:rsidRPr="00642772">
        <w:t>[subsection (2) inserted by Act 80 of 1964</w:t>
      </w:r>
      <w:r w:rsidR="006263DB" w:rsidRPr="00642772">
        <w:t xml:space="preserve"> and substituted by Act 102 of 1967</w:t>
      </w:r>
      <w:r w:rsidRPr="00642772">
        <w:t>]</w:t>
      </w:r>
    </w:p>
    <w:p w:rsidR="003831C1" w:rsidRPr="00642772" w:rsidRDefault="003831C1" w:rsidP="003831C1">
      <w:pPr>
        <w:pStyle w:val="AS-P1"/>
      </w:pPr>
    </w:p>
    <w:p w:rsidR="006263DB" w:rsidRPr="00642772" w:rsidRDefault="006263DB" w:rsidP="006263DB">
      <w:pPr>
        <w:pStyle w:val="AS-P1"/>
      </w:pPr>
      <w:r w:rsidRPr="00642772">
        <w:t xml:space="preserve">(3) </w:t>
      </w:r>
      <w:r w:rsidRPr="00642772">
        <w:tab/>
        <w:t>Notwithstanding anything to the contrary in any other law contained, a magistrate's court shall have jurisdiction to impose any penalty prescribed by any such regulation.</w:t>
      </w:r>
    </w:p>
    <w:p w:rsidR="006263DB" w:rsidRPr="00642772" w:rsidRDefault="006263DB" w:rsidP="003831C1">
      <w:pPr>
        <w:pStyle w:val="AS-P1"/>
      </w:pPr>
    </w:p>
    <w:p w:rsidR="006263DB" w:rsidRPr="00642772" w:rsidRDefault="006263DB" w:rsidP="006263DB">
      <w:pPr>
        <w:pStyle w:val="AS-P-Amend"/>
      </w:pPr>
      <w:r w:rsidRPr="00642772">
        <w:t>[subsection (3) inserted by Act 102 of 1967]</w:t>
      </w:r>
    </w:p>
    <w:p w:rsidR="006263DB" w:rsidRPr="00642772" w:rsidRDefault="006263DB" w:rsidP="003831C1">
      <w:pPr>
        <w:pStyle w:val="AS-P1"/>
      </w:pPr>
    </w:p>
    <w:p w:rsidR="003420E8" w:rsidRPr="00642772" w:rsidRDefault="003420E8" w:rsidP="00EC2911">
      <w:pPr>
        <w:pStyle w:val="AS-P0"/>
        <w:rPr>
          <w:b/>
        </w:rPr>
      </w:pPr>
      <w:r w:rsidRPr="00642772">
        <w:rPr>
          <w:b/>
        </w:rPr>
        <w:t>Commission’s sittings</w:t>
      </w:r>
    </w:p>
    <w:p w:rsidR="003420E8" w:rsidRPr="00642772" w:rsidRDefault="003420E8" w:rsidP="00EC2911">
      <w:pPr>
        <w:pStyle w:val="AS-P0"/>
      </w:pPr>
    </w:p>
    <w:p w:rsidR="00EC2911" w:rsidRPr="00642772" w:rsidRDefault="00EC2911" w:rsidP="00166502">
      <w:pPr>
        <w:pStyle w:val="AS-P1"/>
      </w:pPr>
      <w:r w:rsidRPr="00642772">
        <w:rPr>
          <w:b/>
        </w:rPr>
        <w:t>2.</w:t>
      </w:r>
      <w:r w:rsidRPr="00642772">
        <w:tab/>
        <w:t>A commission may sit at any place in the Union or the mandated territory of South-West Africa for the purpose of hearing evidence or addresses or of deliberating.</w:t>
      </w:r>
    </w:p>
    <w:p w:rsidR="00EC2911" w:rsidRPr="00642772" w:rsidRDefault="00EC2911" w:rsidP="00EC2911">
      <w:pPr>
        <w:pStyle w:val="AS-P0"/>
      </w:pPr>
    </w:p>
    <w:p w:rsidR="003420E8" w:rsidRPr="00642772" w:rsidRDefault="003420E8" w:rsidP="00EC2911">
      <w:pPr>
        <w:pStyle w:val="AS-P0"/>
        <w:rPr>
          <w:b/>
        </w:rPr>
      </w:pPr>
      <w:r w:rsidRPr="00642772">
        <w:rPr>
          <w:b/>
        </w:rPr>
        <w:t>Commission’s powers as to witnesses</w:t>
      </w:r>
    </w:p>
    <w:p w:rsidR="003420E8" w:rsidRPr="00642772" w:rsidRDefault="003420E8" w:rsidP="00EC2911">
      <w:pPr>
        <w:pStyle w:val="AS-P0"/>
      </w:pPr>
    </w:p>
    <w:p w:rsidR="00EC2911" w:rsidRPr="00642772" w:rsidRDefault="00EC2911" w:rsidP="00384757">
      <w:pPr>
        <w:pStyle w:val="AS-P1"/>
      </w:pPr>
      <w:r w:rsidRPr="00642772">
        <w:rPr>
          <w:b/>
        </w:rPr>
        <w:t>3.</w:t>
      </w:r>
      <w:r w:rsidRPr="00642772">
        <w:tab/>
        <w:t xml:space="preserve">(1) </w:t>
      </w:r>
      <w:r w:rsidR="00E64929" w:rsidRPr="00642772">
        <w:tab/>
      </w:r>
      <w:r w:rsidRPr="00642772">
        <w:t>For the purpose of ascertaining any matter relating to the subject of its investigations, a commission shall in the Union have the powers which a Provincial Division of the Supreme Court of South Africa has within its province, and in the mandated territory of South-West Africa have the powers which the High Court of that territory has, to summon witnesses, to cause an oath or affirmation to be administered to them, to examine them, and to call for the production of books, documents and objects.</w:t>
      </w:r>
    </w:p>
    <w:p w:rsidR="00EC2911" w:rsidRPr="00642772" w:rsidRDefault="00EC2911" w:rsidP="00384757">
      <w:pPr>
        <w:pStyle w:val="AS-P1"/>
      </w:pPr>
    </w:p>
    <w:p w:rsidR="00EC2911" w:rsidRPr="00642772" w:rsidRDefault="00EC2911" w:rsidP="00384757">
      <w:pPr>
        <w:pStyle w:val="AS-P1"/>
      </w:pPr>
      <w:r w:rsidRPr="00642772">
        <w:t>(2)</w:t>
      </w:r>
      <w:r w:rsidRPr="00642772">
        <w:tab/>
        <w:t>A summons for the attendance of a witness or for the production of any book, document or object before a commission shall be signed and issued by the secretary of the commission in a form prescribed by the chairman of the commission and shall be served in the same manner as a summons for the attendance of a witness at a criminal trial in a superior court at the place where the attendance or production is to take place.</w:t>
      </w:r>
    </w:p>
    <w:p w:rsidR="00EC2911" w:rsidRPr="00642772" w:rsidRDefault="00EC2911" w:rsidP="00384757">
      <w:pPr>
        <w:pStyle w:val="AS-P1"/>
      </w:pPr>
    </w:p>
    <w:p w:rsidR="00EC2911" w:rsidRPr="00642772" w:rsidRDefault="00EC2911" w:rsidP="00384757">
      <w:pPr>
        <w:pStyle w:val="AS-P1"/>
      </w:pPr>
      <w:r w:rsidRPr="00642772">
        <w:t>(3)</w:t>
      </w:r>
      <w:r w:rsidRPr="00642772">
        <w:tab/>
      </w:r>
      <w:r w:rsidRPr="00642772">
        <w:rPr>
          <w:spacing w:val="-2"/>
        </w:rPr>
        <w:t xml:space="preserve">If required to do so by the chairman of a commission a witness shall, before giving evidence, take an oath or make an affirmation, which oath or affirmation shall be administered by </w:t>
      </w:r>
      <w:r w:rsidRPr="00642772">
        <w:rPr>
          <w:spacing w:val="-3"/>
        </w:rPr>
        <w:t>the chairman of the commission or such official of the commission as the chairman may designate.</w:t>
      </w:r>
    </w:p>
    <w:p w:rsidR="00EC2911" w:rsidRPr="00642772" w:rsidRDefault="00EC2911" w:rsidP="00384757">
      <w:pPr>
        <w:pStyle w:val="AS-P1"/>
      </w:pPr>
    </w:p>
    <w:p w:rsidR="00EC2911" w:rsidRPr="00642772" w:rsidRDefault="00EC2911" w:rsidP="00384757">
      <w:pPr>
        <w:pStyle w:val="AS-P1"/>
      </w:pPr>
      <w:r w:rsidRPr="00642772">
        <w:t>(4)</w:t>
      </w:r>
      <w:r w:rsidRPr="00642772">
        <w:tab/>
        <w:t xml:space="preserve">Any person who has been summoned to attend any sitting of a commission as a witness or who has given evidence before a commission shall be entitled to the same witness fees from public funds, as if he had been summoned to attend or had given evidence at a criminal trial in a superior court held at the place of such sitting, and in connection with the giving of any evidence or the production of any book or document before a commission, the law relating to privilege as applicable to a witness giving evidence or summoned to </w:t>
      </w:r>
      <w:r w:rsidR="0036423F" w:rsidRPr="00642772">
        <w:t>p</w:t>
      </w:r>
      <w:r w:rsidRPr="00642772">
        <w:t xml:space="preserve">roduce a </w:t>
      </w:r>
      <w:r w:rsidR="00A350E4" w:rsidRPr="00642772">
        <w:t>b</w:t>
      </w:r>
      <w:r w:rsidRPr="00642772">
        <w:t>ook or document in such a court, shall apply.</w:t>
      </w:r>
    </w:p>
    <w:p w:rsidR="00EC2911" w:rsidRPr="00642772" w:rsidRDefault="00EC2911" w:rsidP="00EC2911">
      <w:pPr>
        <w:pStyle w:val="AS-P0"/>
      </w:pPr>
    </w:p>
    <w:p w:rsidR="003420E8" w:rsidRPr="00642772" w:rsidRDefault="003420E8" w:rsidP="00EC2911">
      <w:pPr>
        <w:pStyle w:val="AS-P0"/>
        <w:rPr>
          <w:b/>
        </w:rPr>
      </w:pPr>
      <w:r w:rsidRPr="00642772">
        <w:rPr>
          <w:b/>
        </w:rPr>
        <w:t>Sittings to be public</w:t>
      </w:r>
    </w:p>
    <w:p w:rsidR="003420E8" w:rsidRPr="00642772" w:rsidRDefault="003420E8" w:rsidP="00EC2911">
      <w:pPr>
        <w:pStyle w:val="AS-P0"/>
      </w:pPr>
    </w:p>
    <w:p w:rsidR="00EC2911" w:rsidRPr="00642772" w:rsidRDefault="00EC2911" w:rsidP="00724D12">
      <w:pPr>
        <w:pStyle w:val="AS-P1"/>
      </w:pPr>
      <w:r w:rsidRPr="00642772">
        <w:rPr>
          <w:b/>
        </w:rPr>
        <w:t>4.</w:t>
      </w:r>
      <w:r w:rsidRPr="00642772">
        <w:tab/>
        <w:t>All the evidence and addresses heard by a commission shall be heard in public: Provided that the chairman of the commission may, in his discretion, exclude from the place where such evidence is to be given or such address is to he delivered any class of persons or all persons whose presence at the hearing of such evidence or address is, in his opinion, not necessary or desirable.</w:t>
      </w:r>
    </w:p>
    <w:p w:rsidR="00EC2911" w:rsidRPr="00642772" w:rsidRDefault="00EC2911" w:rsidP="00EC2911">
      <w:pPr>
        <w:pStyle w:val="AS-P0"/>
      </w:pPr>
    </w:p>
    <w:p w:rsidR="003420E8" w:rsidRPr="00642772" w:rsidRDefault="003420E8" w:rsidP="00EC2911">
      <w:pPr>
        <w:pStyle w:val="AS-P0"/>
        <w:rPr>
          <w:b/>
        </w:rPr>
      </w:pPr>
      <w:r w:rsidRPr="00642772">
        <w:rPr>
          <w:b/>
        </w:rPr>
        <w:t>Hindering or obstructing a commission</w:t>
      </w:r>
    </w:p>
    <w:p w:rsidR="003420E8" w:rsidRPr="00642772" w:rsidRDefault="003420E8" w:rsidP="00EC2911">
      <w:pPr>
        <w:pStyle w:val="AS-P0"/>
      </w:pPr>
    </w:p>
    <w:p w:rsidR="00EC2911" w:rsidRPr="00642772" w:rsidRDefault="00EC2911" w:rsidP="0054324D">
      <w:pPr>
        <w:pStyle w:val="AS-P1"/>
      </w:pPr>
      <w:r w:rsidRPr="00642772">
        <w:rPr>
          <w:b/>
        </w:rPr>
        <w:t>5.</w:t>
      </w:r>
      <w:r w:rsidRPr="00642772">
        <w:tab/>
        <w:t>Any person who wilfully interrupts the proceedings of a commission or who wilfully hinders or obstructs a commission in the performance of its functions shall be guilty of an offence and liable on conviction to a fine not exceeding fifty pounds or to imprisonment for a period not exceeding six months or to both such fine and imprisonment.</w:t>
      </w:r>
    </w:p>
    <w:p w:rsidR="000A21E7" w:rsidRPr="00642772" w:rsidRDefault="000A21E7" w:rsidP="0054324D">
      <w:pPr>
        <w:pStyle w:val="AS-P1"/>
      </w:pPr>
    </w:p>
    <w:p w:rsidR="00EC2911" w:rsidRPr="00642772" w:rsidRDefault="000A21E7" w:rsidP="000A21E7">
      <w:pPr>
        <w:pStyle w:val="AS-P-Amend"/>
      </w:pPr>
      <w:r w:rsidRPr="00642772">
        <w:t xml:space="preserve">[A fine </w:t>
      </w:r>
      <w:r w:rsidR="00B87707" w:rsidRPr="00642772">
        <w:t xml:space="preserve">not exceeding </w:t>
      </w:r>
      <w:r w:rsidRPr="00642772">
        <w:t>fifty pounds is equ</w:t>
      </w:r>
      <w:r w:rsidR="009B0E56" w:rsidRPr="00642772">
        <w:t xml:space="preserve">ivalent </w:t>
      </w:r>
      <w:r w:rsidRPr="00642772">
        <w:t xml:space="preserve">to </w:t>
      </w:r>
      <w:r w:rsidR="009B0E56" w:rsidRPr="00642772">
        <w:t xml:space="preserve">a fine </w:t>
      </w:r>
      <w:r w:rsidR="00B87707" w:rsidRPr="00642772">
        <w:t xml:space="preserve">not exceeding </w:t>
      </w:r>
      <w:r w:rsidRPr="00642772">
        <w:t>N$100.]</w:t>
      </w:r>
    </w:p>
    <w:p w:rsidR="000A21E7" w:rsidRPr="00642772" w:rsidRDefault="000A21E7" w:rsidP="00EC2911">
      <w:pPr>
        <w:pStyle w:val="AS-P0"/>
      </w:pPr>
    </w:p>
    <w:p w:rsidR="003420E8" w:rsidRPr="00642772" w:rsidRDefault="003420E8" w:rsidP="00EC2911">
      <w:pPr>
        <w:pStyle w:val="AS-P0"/>
        <w:rPr>
          <w:b/>
        </w:rPr>
      </w:pPr>
      <w:r w:rsidRPr="00642772">
        <w:rPr>
          <w:b/>
        </w:rPr>
        <w:t>Offences by witnesses</w:t>
      </w:r>
    </w:p>
    <w:p w:rsidR="003420E8" w:rsidRPr="00642772" w:rsidRDefault="003420E8" w:rsidP="00EC2911">
      <w:pPr>
        <w:pStyle w:val="AS-P0"/>
      </w:pPr>
    </w:p>
    <w:p w:rsidR="00EC2911" w:rsidRPr="00642772" w:rsidRDefault="00EC2911" w:rsidP="00AE00C3">
      <w:pPr>
        <w:pStyle w:val="AS-P1"/>
      </w:pPr>
      <w:r w:rsidRPr="00642772">
        <w:rPr>
          <w:b/>
        </w:rPr>
        <w:t>6.</w:t>
      </w:r>
      <w:r w:rsidRPr="00642772">
        <w:tab/>
        <w:t xml:space="preserve">(1) </w:t>
      </w:r>
      <w:r w:rsidR="00761321" w:rsidRPr="00642772">
        <w:tab/>
      </w:r>
      <w:r w:rsidRPr="00642772">
        <w:t>Any person summoned to attend and give evidence or to produce any book, document or object before a commission who, without sufficient cause (the onus of proof whereof shall rest upon him) fails to attend at the time and place specified in the summons, or to remain in attendance until the conclusion of the enquiry or until he is excused by the chairman of the commission from further attendance, or having attended,</w:t>
      </w:r>
      <w:r w:rsidR="00761321" w:rsidRPr="00642772">
        <w:t xml:space="preserve"> </w:t>
      </w:r>
      <w:r w:rsidRPr="00642772">
        <w:t>refuses to be sworn or to make affirmation as a witness after he has been required by the chairman of the commission to do so or, having been sworn or having made affirmation, fails to answer fully and satisfactorily any question lawfully put to him, or fails to produce any book, document or object in his possession or custody or under his control, which he has been summoned to produce, shall be guilty of an offence and liable on conviction to a fine not exceeding fifty pounds or to imprisonment for a period not exceeding six months, or to both such fine and imprisonment.</w:t>
      </w:r>
    </w:p>
    <w:p w:rsidR="00EC2911" w:rsidRPr="00642772" w:rsidRDefault="00EC2911" w:rsidP="00AE00C3">
      <w:pPr>
        <w:pStyle w:val="AS-P1"/>
      </w:pPr>
    </w:p>
    <w:p w:rsidR="000A21E7" w:rsidRPr="00642772" w:rsidRDefault="000A21E7" w:rsidP="000A21E7">
      <w:pPr>
        <w:pStyle w:val="AS-P-Amend"/>
      </w:pPr>
      <w:r w:rsidRPr="00642772">
        <w:t xml:space="preserve">[A fine </w:t>
      </w:r>
      <w:r w:rsidR="00B87707" w:rsidRPr="00642772">
        <w:t xml:space="preserve">not exceeding </w:t>
      </w:r>
      <w:r w:rsidRPr="00642772">
        <w:t xml:space="preserve">fifty pounds is </w:t>
      </w:r>
      <w:r w:rsidR="005A3102" w:rsidRPr="00642772">
        <w:t xml:space="preserve">equivalent to a fine </w:t>
      </w:r>
      <w:r w:rsidR="00B87707" w:rsidRPr="00642772">
        <w:t xml:space="preserve">not exceeding </w:t>
      </w:r>
      <w:r w:rsidRPr="00642772">
        <w:t>N$100.]</w:t>
      </w:r>
    </w:p>
    <w:p w:rsidR="000A21E7" w:rsidRPr="00642772" w:rsidRDefault="000A21E7" w:rsidP="00AE00C3">
      <w:pPr>
        <w:pStyle w:val="AS-P1"/>
      </w:pPr>
    </w:p>
    <w:p w:rsidR="00EC2911" w:rsidRPr="00642772" w:rsidRDefault="00EC2911" w:rsidP="00AE00C3">
      <w:pPr>
        <w:pStyle w:val="AS-P1"/>
      </w:pPr>
      <w:r w:rsidRPr="00642772">
        <w:t xml:space="preserve">(2) </w:t>
      </w:r>
      <w:r w:rsidR="00AE00C3" w:rsidRPr="00642772">
        <w:tab/>
      </w:r>
      <w:r w:rsidRPr="00642772">
        <w:t>Any person who after having been sworn or having made affirmation, gives false evidence before a commission on any matter, knowing such evidence to be false or not knowing or believing it to be true, shall be guilty of an offence and liable on conviction to a fine not exceeding one hundred pounds or to imprisonment for a period not exceeding twelve months, or to both such fine and imprisonment.</w:t>
      </w:r>
    </w:p>
    <w:p w:rsidR="00EC2911" w:rsidRPr="00642772" w:rsidRDefault="00EC2911" w:rsidP="00EC2911">
      <w:pPr>
        <w:pStyle w:val="AS-P0"/>
      </w:pPr>
    </w:p>
    <w:p w:rsidR="000A21E7" w:rsidRPr="00642772" w:rsidRDefault="000A21E7" w:rsidP="000A21E7">
      <w:pPr>
        <w:pStyle w:val="AS-P-Amend"/>
      </w:pPr>
      <w:r w:rsidRPr="00642772">
        <w:t xml:space="preserve">[A fine </w:t>
      </w:r>
      <w:r w:rsidR="00B87707" w:rsidRPr="00642772">
        <w:t xml:space="preserve">not exceeding </w:t>
      </w:r>
      <w:r w:rsidRPr="00642772">
        <w:t xml:space="preserve">one hundred pounds is </w:t>
      </w:r>
      <w:r w:rsidR="005A3102" w:rsidRPr="00642772">
        <w:t xml:space="preserve">equivalent to a fine </w:t>
      </w:r>
      <w:r w:rsidR="00B87707" w:rsidRPr="00642772">
        <w:t xml:space="preserve">not exceeding </w:t>
      </w:r>
      <w:r w:rsidRPr="00642772">
        <w:t>N$200.]</w:t>
      </w:r>
    </w:p>
    <w:p w:rsidR="000A21E7" w:rsidRPr="00642772" w:rsidRDefault="000A21E7" w:rsidP="00EC2911">
      <w:pPr>
        <w:pStyle w:val="AS-P0"/>
      </w:pPr>
    </w:p>
    <w:p w:rsidR="00D87E89" w:rsidRPr="00642772" w:rsidRDefault="00D87E89" w:rsidP="00D87E89">
      <w:pPr>
        <w:pStyle w:val="AS-P0"/>
        <w:rPr>
          <w:b/>
        </w:rPr>
      </w:pPr>
      <w:r w:rsidRPr="00642772">
        <w:rPr>
          <w:b/>
        </w:rPr>
        <w:t>Application of this Act in South West Africa</w:t>
      </w:r>
    </w:p>
    <w:p w:rsidR="00D87E89" w:rsidRPr="00642772" w:rsidRDefault="00D87E89" w:rsidP="00D87E89">
      <w:pPr>
        <w:pStyle w:val="AS-P0"/>
        <w:rPr>
          <w:b/>
        </w:rPr>
      </w:pPr>
    </w:p>
    <w:p w:rsidR="00D87E89" w:rsidRPr="00642772" w:rsidRDefault="00D87E89" w:rsidP="00D87E89">
      <w:pPr>
        <w:pStyle w:val="AS-P1"/>
      </w:pPr>
      <w:r w:rsidRPr="00642772">
        <w:rPr>
          <w:b/>
        </w:rPr>
        <w:t>6A.</w:t>
      </w:r>
      <w:r w:rsidRPr="00642772">
        <w:rPr>
          <w:b/>
        </w:rPr>
        <w:tab/>
      </w:r>
      <w:r w:rsidRPr="00642772">
        <w:t xml:space="preserve">(1) </w:t>
      </w:r>
      <w:r w:rsidRPr="00642772">
        <w:tab/>
        <w:t>This Act shall apply also in the Territory of South West Africa, including the Eastern Caprivi Zipfel.</w:t>
      </w:r>
    </w:p>
    <w:p w:rsidR="00D87E89" w:rsidRPr="00642772" w:rsidRDefault="00D87E89" w:rsidP="00D87E89">
      <w:pPr>
        <w:pStyle w:val="AS-P1"/>
      </w:pPr>
    </w:p>
    <w:p w:rsidR="00D87E89" w:rsidRPr="00642772" w:rsidRDefault="00D87E89" w:rsidP="00D87E89">
      <w:pPr>
        <w:pStyle w:val="AS-P1"/>
      </w:pPr>
      <w:r w:rsidRPr="00642772">
        <w:t xml:space="preserve">(2) </w:t>
      </w:r>
      <w:r w:rsidRPr="00642772">
        <w:tab/>
        <w:t>Section 1 shall be deemed to be amended by the insertion in subsection (1) before the word “has” of the words “or the Administrator-General”.</w:t>
      </w:r>
    </w:p>
    <w:p w:rsidR="00D87E89" w:rsidRPr="00642772" w:rsidRDefault="00D87E89" w:rsidP="00D87E89">
      <w:pPr>
        <w:pStyle w:val="AS-P1"/>
      </w:pPr>
    </w:p>
    <w:p w:rsidR="00D87E89" w:rsidRPr="00642772" w:rsidRDefault="00D87E89" w:rsidP="00D87E89">
      <w:pPr>
        <w:pStyle w:val="AS-P1"/>
      </w:pPr>
      <w:r w:rsidRPr="00642772">
        <w:t xml:space="preserve">(3) </w:t>
      </w:r>
      <w:r w:rsidRPr="00642772">
        <w:tab/>
        <w:t xml:space="preserve">Anything which may be done under section 1, as it is deemed to be amended in terms of subsection (2) of this section, by the Administrator-General by Proclamation, shall be done by him in the </w:t>
      </w:r>
      <w:r w:rsidRPr="00642772">
        <w:rPr>
          <w:i/>
        </w:rPr>
        <w:t>Official Gazette</w:t>
      </w:r>
      <w:r w:rsidRPr="00642772">
        <w:t xml:space="preserve"> of the Territory of South West Africa.</w:t>
      </w:r>
    </w:p>
    <w:p w:rsidR="00D87E89" w:rsidRPr="00642772" w:rsidRDefault="00D87E89" w:rsidP="00D87E89">
      <w:pPr>
        <w:pStyle w:val="AS-P1"/>
      </w:pPr>
    </w:p>
    <w:p w:rsidR="00D87E89" w:rsidRPr="00642772" w:rsidRDefault="00D87E89" w:rsidP="00D87E89">
      <w:pPr>
        <w:pStyle w:val="AS-P1"/>
      </w:pPr>
      <w:r w:rsidRPr="00642772">
        <w:t xml:space="preserve">(4) </w:t>
      </w:r>
      <w:r w:rsidRPr="00642772">
        <w:tab/>
        <w:t xml:space="preserve">Anything done in terms of subsection (3) by proclamation in the said </w:t>
      </w:r>
      <w:r w:rsidRPr="00642772">
        <w:rPr>
          <w:i/>
        </w:rPr>
        <w:t>Official Gazette</w:t>
      </w:r>
      <w:r w:rsidRPr="00642772">
        <w:t xml:space="preserve">, shall be deemed to have been done by proclamation in the </w:t>
      </w:r>
      <w:r w:rsidRPr="00642772">
        <w:rPr>
          <w:i/>
        </w:rPr>
        <w:t>Gazette</w:t>
      </w:r>
      <w:r w:rsidRPr="00642772">
        <w:t xml:space="preserve">. </w:t>
      </w:r>
    </w:p>
    <w:p w:rsidR="00D87E89" w:rsidRPr="00642772" w:rsidRDefault="00D87E89" w:rsidP="00D87E89">
      <w:pPr>
        <w:pStyle w:val="AS-P0"/>
        <w:rPr>
          <w:b/>
        </w:rPr>
      </w:pPr>
    </w:p>
    <w:p w:rsidR="00D87E89" w:rsidRPr="00642772" w:rsidRDefault="00D87E89" w:rsidP="00D87E89">
      <w:pPr>
        <w:pStyle w:val="AS-P-Amend"/>
      </w:pPr>
      <w:r w:rsidRPr="00642772">
        <w:t>[section 6A inserted by RSA Proc. R.149 of 1980]</w:t>
      </w:r>
    </w:p>
    <w:p w:rsidR="00D87E89" w:rsidRPr="00642772" w:rsidRDefault="00D87E89" w:rsidP="00D87E89">
      <w:pPr>
        <w:pStyle w:val="AS-P0"/>
        <w:rPr>
          <w:b/>
        </w:rPr>
      </w:pPr>
    </w:p>
    <w:p w:rsidR="003420E8" w:rsidRPr="00642772" w:rsidRDefault="003420E8" w:rsidP="00D87E89">
      <w:pPr>
        <w:pStyle w:val="AS-P0"/>
        <w:rPr>
          <w:b/>
        </w:rPr>
      </w:pPr>
      <w:r w:rsidRPr="00642772">
        <w:rPr>
          <w:b/>
        </w:rPr>
        <w:t>Short title</w:t>
      </w:r>
    </w:p>
    <w:p w:rsidR="003420E8" w:rsidRPr="00642772" w:rsidRDefault="003420E8" w:rsidP="00EC2911">
      <w:pPr>
        <w:pStyle w:val="AS-P0"/>
        <w:rPr>
          <w:b/>
        </w:rPr>
      </w:pPr>
    </w:p>
    <w:p w:rsidR="00280DCD" w:rsidRPr="00642772" w:rsidRDefault="00EC2911" w:rsidP="00642772">
      <w:pPr>
        <w:pStyle w:val="AS-P1"/>
      </w:pPr>
      <w:r w:rsidRPr="00642772">
        <w:rPr>
          <w:b/>
        </w:rPr>
        <w:t>7.</w:t>
      </w:r>
      <w:r w:rsidRPr="00642772">
        <w:tab/>
        <w:t>This Act shall be called the Commissions Act, 1947.</w:t>
      </w:r>
    </w:p>
    <w:sectPr w:rsidR="00280DCD" w:rsidRPr="00642772" w:rsidSect="00426221">
      <w:headerReference w:type="default" r:id="rId9"/>
      <w:pgSz w:w="11900" w:h="16840" w:code="9"/>
      <w:pgMar w:top="1985" w:right="1701" w:bottom="851" w:left="1701" w:header="851"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399E" w:rsidRDefault="0027399E">
      <w:r>
        <w:separator/>
      </w:r>
    </w:p>
  </w:endnote>
  <w:endnote w:type="continuationSeparator" w:id="0">
    <w:p w:rsidR="0027399E" w:rsidRDefault="002739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399E" w:rsidRDefault="0027399E">
      <w:r>
        <w:separator/>
      </w:r>
    </w:p>
  </w:footnote>
  <w:footnote w:type="continuationSeparator" w:id="0">
    <w:p w:rsidR="0027399E" w:rsidRDefault="002739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042" w:rsidRPr="00DC6273" w:rsidRDefault="000B4FB6" w:rsidP="00FC33A9">
    <w:pPr>
      <w:spacing w:after="120"/>
      <w:jc w:val="center"/>
      <w:rPr>
        <w:rFonts w:ascii="Arial" w:hAnsi="Arial" w:cs="Arial"/>
        <w:sz w:val="16"/>
        <w:szCs w:val="16"/>
      </w:rPr>
    </w:pPr>
    <w:r w:rsidRPr="00A41A02">
      <w:rPr>
        <w:rFonts w:ascii="Arial" w:hAnsi="Arial" w:cs="Arial"/>
        <w:sz w:val="12"/>
        <w:szCs w:val="16"/>
      </w:rPr>
      <w:t>Republic of Namibia</w:t>
    </w:r>
    <w:r w:rsidR="00BF0042" w:rsidRPr="00FC33A9">
      <w:rPr>
        <w:rFonts w:ascii="Arial" w:hAnsi="Arial" w:cs="Arial"/>
        <w:w w:val="600"/>
        <w:sz w:val="12"/>
        <w:szCs w:val="16"/>
      </w:rPr>
      <w:t xml:space="preserve"> </w:t>
    </w:r>
    <w:r w:rsidR="0093409E" w:rsidRPr="00DC6273">
      <w:rPr>
        <w:rFonts w:ascii="Arial" w:hAnsi="Arial" w:cs="Arial"/>
        <w:b/>
        <w:noProof w:val="0"/>
        <w:sz w:val="16"/>
        <w:szCs w:val="16"/>
      </w:rPr>
      <w:fldChar w:fldCharType="begin"/>
    </w:r>
    <w:r w:rsidR="00BF0042" w:rsidRPr="00DC6273">
      <w:rPr>
        <w:rFonts w:ascii="Arial" w:hAnsi="Arial" w:cs="Arial"/>
        <w:b/>
        <w:sz w:val="16"/>
        <w:szCs w:val="16"/>
      </w:rPr>
      <w:instrText xml:space="preserve"> PAGE   \* MERGEFORMAT </w:instrText>
    </w:r>
    <w:r w:rsidR="0093409E" w:rsidRPr="00DC6273">
      <w:rPr>
        <w:rFonts w:ascii="Arial" w:hAnsi="Arial" w:cs="Arial"/>
        <w:b/>
        <w:noProof w:val="0"/>
        <w:sz w:val="16"/>
        <w:szCs w:val="16"/>
      </w:rPr>
      <w:fldChar w:fldCharType="separate"/>
    </w:r>
    <w:r w:rsidR="0038396C">
      <w:rPr>
        <w:rFonts w:ascii="Arial" w:hAnsi="Arial" w:cs="Arial"/>
        <w:b/>
        <w:sz w:val="16"/>
        <w:szCs w:val="16"/>
      </w:rPr>
      <w:t>4</w:t>
    </w:r>
    <w:r w:rsidR="0093409E" w:rsidRPr="00DC6273">
      <w:rPr>
        <w:rFonts w:ascii="Arial" w:hAnsi="Arial" w:cs="Arial"/>
        <w:b/>
        <w:sz w:val="16"/>
        <w:szCs w:val="16"/>
      </w:rPr>
      <w:fldChar w:fldCharType="end"/>
    </w:r>
    <w:r w:rsidR="00BF0042" w:rsidRPr="00FC33A9">
      <w:rPr>
        <w:rFonts w:ascii="Arial" w:hAnsi="Arial" w:cs="Arial"/>
        <w:w w:val="600"/>
        <w:sz w:val="12"/>
        <w:szCs w:val="16"/>
      </w:rPr>
      <w:t xml:space="preserve"> </w:t>
    </w:r>
    <w:r>
      <w:rPr>
        <w:rFonts w:ascii="Arial" w:hAnsi="Arial" w:cs="Arial"/>
        <w:sz w:val="12"/>
        <w:szCs w:val="16"/>
      </w:rPr>
      <w:t>Annotated Statutes</w:t>
    </w:r>
    <w:r w:rsidR="00BF0042">
      <w:rPr>
        <w:rFonts w:ascii="Arial" w:hAnsi="Arial" w:cs="Arial"/>
        <w:b/>
        <w:sz w:val="16"/>
        <w:szCs w:val="16"/>
      </w:rPr>
      <w:t xml:space="preserve"> </w:t>
    </w:r>
  </w:p>
  <w:p w:rsidR="00BF0042" w:rsidRDefault="00C509C1" w:rsidP="001D22A0">
    <w:pPr>
      <w:pStyle w:val="Header"/>
      <w:tabs>
        <w:tab w:val="clear" w:pos="4513"/>
        <w:tab w:val="clear" w:pos="9026"/>
        <w:tab w:val="left" w:pos="567"/>
        <w:tab w:val="left" w:pos="2268"/>
      </w:tabs>
      <w:jc w:val="center"/>
      <w:rPr>
        <w:rFonts w:ascii="Arial" w:hAnsi="Arial" w:cs="Arial"/>
        <w:b/>
        <w:sz w:val="16"/>
        <w:szCs w:val="16"/>
      </w:rPr>
    </w:pPr>
    <w:r>
      <w:rPr>
        <w:rFonts w:ascii="Arial" w:hAnsi="Arial" w:cs="Arial"/>
        <w:b/>
        <w:sz w:val="16"/>
        <w:szCs w:val="16"/>
      </w:rPr>
      <w:t>Commissions</w:t>
    </w:r>
    <w:r w:rsidR="001D22A0" w:rsidRPr="00DC6273">
      <w:rPr>
        <w:rFonts w:ascii="Arial" w:hAnsi="Arial" w:cs="Arial"/>
        <w:b/>
        <w:sz w:val="16"/>
        <w:szCs w:val="16"/>
      </w:rPr>
      <w:t xml:space="preserve"> Act </w:t>
    </w:r>
    <w:r>
      <w:rPr>
        <w:rFonts w:ascii="Arial" w:hAnsi="Arial" w:cs="Arial"/>
        <w:b/>
        <w:sz w:val="16"/>
        <w:szCs w:val="16"/>
      </w:rPr>
      <w:t>8</w:t>
    </w:r>
    <w:r w:rsidR="001D22A0" w:rsidRPr="00DC6273">
      <w:rPr>
        <w:rFonts w:ascii="Arial" w:hAnsi="Arial" w:cs="Arial"/>
        <w:b/>
        <w:sz w:val="16"/>
        <w:szCs w:val="16"/>
      </w:rPr>
      <w:t xml:space="preserve"> of </w:t>
    </w:r>
    <w:r>
      <w:rPr>
        <w:rFonts w:ascii="Arial" w:hAnsi="Arial" w:cs="Arial"/>
        <w:b/>
        <w:sz w:val="16"/>
        <w:szCs w:val="16"/>
      </w:rPr>
      <w:t>1947</w:t>
    </w:r>
    <w:r w:rsidR="00AF18B9">
      <w:rPr>
        <w:rFonts w:ascii="Arial" w:hAnsi="Arial" w:cs="Arial"/>
        <w:b/>
        <w:sz w:val="16"/>
        <w:szCs w:val="16"/>
      </w:rPr>
      <w:t xml:space="preserve"> (SA)</w:t>
    </w:r>
  </w:p>
  <w:p w:rsidR="00BF0042" w:rsidRPr="00940A34" w:rsidRDefault="00BF0042" w:rsidP="00FC33A9">
    <w:pPr>
      <w:pBdr>
        <w:bottom w:val="single" w:sz="4" w:space="1" w:color="auto"/>
      </w:pBdr>
      <w:rPr>
        <w:sz w:val="12"/>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0947E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3F01B8"/>
    <w:multiLevelType w:val="hybridMultilevel"/>
    <w:tmpl w:val="E79E388C"/>
    <w:lvl w:ilvl="0" w:tplc="A1A0E65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7E5056"/>
    <w:multiLevelType w:val="hybridMultilevel"/>
    <w:tmpl w:val="541AF994"/>
    <w:lvl w:ilvl="0" w:tplc="2E562170">
      <w:start w:val="1"/>
      <w:numFmt w:val="decimal"/>
      <w:lvlText w:val="%1."/>
      <w:lvlJc w:val="left"/>
      <w:pPr>
        <w:ind w:left="1287" w:hanging="360"/>
      </w:pPr>
      <w:rPr>
        <w:rFonts w:hint="default"/>
        <w:b/>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 w15:restartNumberingAfterBreak="0">
    <w:nsid w:val="35326BD6"/>
    <w:multiLevelType w:val="hybridMultilevel"/>
    <w:tmpl w:val="112AB6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6683651"/>
    <w:multiLevelType w:val="hybridMultilevel"/>
    <w:tmpl w:val="75CA258E"/>
    <w:lvl w:ilvl="0" w:tplc="57BAD8E6">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15:restartNumberingAfterBreak="0">
    <w:nsid w:val="56943CF6"/>
    <w:multiLevelType w:val="hybridMultilevel"/>
    <w:tmpl w:val="D73A7B40"/>
    <w:lvl w:ilvl="0" w:tplc="AC748B94">
      <w:start w:val="1"/>
      <w:numFmt w:val="decimal"/>
      <w:lvlText w:val="%1."/>
      <w:lvlJc w:val="left"/>
      <w:pPr>
        <w:ind w:left="132" w:hanging="255"/>
        <w:jc w:val="right"/>
      </w:pPr>
      <w:rPr>
        <w:rFonts w:ascii="Times New Roman" w:eastAsia="Times New Roman" w:hAnsi="Times New Roman" w:hint="default"/>
        <w:spacing w:val="-70"/>
        <w:w w:val="169"/>
        <w:sz w:val="20"/>
        <w:szCs w:val="20"/>
      </w:rPr>
    </w:lvl>
    <w:lvl w:ilvl="1" w:tplc="2DACA080">
      <w:start w:val="1"/>
      <w:numFmt w:val="bullet"/>
      <w:lvlText w:val="•"/>
      <w:lvlJc w:val="left"/>
      <w:pPr>
        <w:ind w:left="748" w:hanging="255"/>
      </w:pPr>
      <w:rPr>
        <w:rFonts w:hint="default"/>
      </w:rPr>
    </w:lvl>
    <w:lvl w:ilvl="2" w:tplc="E636398A">
      <w:start w:val="1"/>
      <w:numFmt w:val="bullet"/>
      <w:lvlText w:val="•"/>
      <w:lvlJc w:val="left"/>
      <w:pPr>
        <w:ind w:left="1364" w:hanging="255"/>
      </w:pPr>
      <w:rPr>
        <w:rFonts w:hint="default"/>
      </w:rPr>
    </w:lvl>
    <w:lvl w:ilvl="3" w:tplc="B934AC3E">
      <w:start w:val="1"/>
      <w:numFmt w:val="bullet"/>
      <w:lvlText w:val="•"/>
      <w:lvlJc w:val="left"/>
      <w:pPr>
        <w:ind w:left="1981" w:hanging="255"/>
      </w:pPr>
      <w:rPr>
        <w:rFonts w:hint="default"/>
      </w:rPr>
    </w:lvl>
    <w:lvl w:ilvl="4" w:tplc="57245F56">
      <w:start w:val="1"/>
      <w:numFmt w:val="bullet"/>
      <w:lvlText w:val="•"/>
      <w:lvlJc w:val="left"/>
      <w:pPr>
        <w:ind w:left="2597" w:hanging="255"/>
      </w:pPr>
      <w:rPr>
        <w:rFonts w:hint="default"/>
      </w:rPr>
    </w:lvl>
    <w:lvl w:ilvl="5" w:tplc="ED4AE288">
      <w:start w:val="1"/>
      <w:numFmt w:val="bullet"/>
      <w:lvlText w:val="•"/>
      <w:lvlJc w:val="left"/>
      <w:pPr>
        <w:ind w:left="3213" w:hanging="255"/>
      </w:pPr>
      <w:rPr>
        <w:rFonts w:hint="default"/>
      </w:rPr>
    </w:lvl>
    <w:lvl w:ilvl="6" w:tplc="13366C32">
      <w:start w:val="1"/>
      <w:numFmt w:val="bullet"/>
      <w:lvlText w:val="•"/>
      <w:lvlJc w:val="left"/>
      <w:pPr>
        <w:ind w:left="3830" w:hanging="255"/>
      </w:pPr>
      <w:rPr>
        <w:rFonts w:hint="default"/>
      </w:rPr>
    </w:lvl>
    <w:lvl w:ilvl="7" w:tplc="422C1314">
      <w:start w:val="1"/>
      <w:numFmt w:val="bullet"/>
      <w:lvlText w:val="•"/>
      <w:lvlJc w:val="left"/>
      <w:pPr>
        <w:ind w:left="4446" w:hanging="255"/>
      </w:pPr>
      <w:rPr>
        <w:rFonts w:hint="default"/>
      </w:rPr>
    </w:lvl>
    <w:lvl w:ilvl="8" w:tplc="534AB138">
      <w:start w:val="1"/>
      <w:numFmt w:val="bullet"/>
      <w:lvlText w:val="•"/>
      <w:lvlJc w:val="left"/>
      <w:pPr>
        <w:ind w:left="5062" w:hanging="255"/>
      </w:pPr>
      <w:rPr>
        <w:rFonts w:hint="default"/>
      </w:rPr>
    </w:lvl>
  </w:abstractNum>
  <w:abstractNum w:abstractNumId="6" w15:restartNumberingAfterBreak="0">
    <w:nsid w:val="62FE0087"/>
    <w:multiLevelType w:val="hybridMultilevel"/>
    <w:tmpl w:val="EA821726"/>
    <w:lvl w:ilvl="0" w:tplc="7A907A7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64667200"/>
    <w:multiLevelType w:val="hybridMultilevel"/>
    <w:tmpl w:val="6824BB12"/>
    <w:lvl w:ilvl="0" w:tplc="50E00C48">
      <w:start w:val="2"/>
      <w:numFmt w:val="decimal"/>
      <w:lvlText w:val="(%1)"/>
      <w:lvlJc w:val="left"/>
      <w:pPr>
        <w:ind w:left="132" w:hanging="319"/>
      </w:pPr>
      <w:rPr>
        <w:rFonts w:ascii="Times New Roman" w:eastAsia="Times New Roman" w:hAnsi="Times New Roman" w:hint="default"/>
        <w:w w:val="95"/>
        <w:sz w:val="20"/>
        <w:szCs w:val="20"/>
      </w:rPr>
    </w:lvl>
    <w:lvl w:ilvl="1" w:tplc="73A04A72">
      <w:start w:val="1"/>
      <w:numFmt w:val="bullet"/>
      <w:lvlText w:val="•"/>
      <w:lvlJc w:val="left"/>
      <w:pPr>
        <w:ind w:left="278" w:hanging="319"/>
      </w:pPr>
      <w:rPr>
        <w:rFonts w:hint="default"/>
      </w:rPr>
    </w:lvl>
    <w:lvl w:ilvl="2" w:tplc="739ECF9A">
      <w:start w:val="1"/>
      <w:numFmt w:val="bullet"/>
      <w:lvlText w:val="•"/>
      <w:lvlJc w:val="left"/>
      <w:pPr>
        <w:ind w:left="945" w:hanging="319"/>
      </w:pPr>
      <w:rPr>
        <w:rFonts w:hint="default"/>
      </w:rPr>
    </w:lvl>
    <w:lvl w:ilvl="3" w:tplc="06ECD5BE">
      <w:start w:val="1"/>
      <w:numFmt w:val="bullet"/>
      <w:lvlText w:val="•"/>
      <w:lvlJc w:val="left"/>
      <w:pPr>
        <w:ind w:left="1611" w:hanging="319"/>
      </w:pPr>
      <w:rPr>
        <w:rFonts w:hint="default"/>
      </w:rPr>
    </w:lvl>
    <w:lvl w:ilvl="4" w:tplc="571057FA">
      <w:start w:val="1"/>
      <w:numFmt w:val="bullet"/>
      <w:lvlText w:val="•"/>
      <w:lvlJc w:val="left"/>
      <w:pPr>
        <w:ind w:left="2277" w:hanging="319"/>
      </w:pPr>
      <w:rPr>
        <w:rFonts w:hint="default"/>
      </w:rPr>
    </w:lvl>
    <w:lvl w:ilvl="5" w:tplc="7E201302">
      <w:start w:val="1"/>
      <w:numFmt w:val="bullet"/>
      <w:lvlText w:val="•"/>
      <w:lvlJc w:val="left"/>
      <w:pPr>
        <w:ind w:left="2944" w:hanging="319"/>
      </w:pPr>
      <w:rPr>
        <w:rFonts w:hint="default"/>
      </w:rPr>
    </w:lvl>
    <w:lvl w:ilvl="6" w:tplc="97004368">
      <w:start w:val="1"/>
      <w:numFmt w:val="bullet"/>
      <w:lvlText w:val="•"/>
      <w:lvlJc w:val="left"/>
      <w:pPr>
        <w:ind w:left="3610" w:hanging="319"/>
      </w:pPr>
      <w:rPr>
        <w:rFonts w:hint="default"/>
      </w:rPr>
    </w:lvl>
    <w:lvl w:ilvl="7" w:tplc="7B32D1E8">
      <w:start w:val="1"/>
      <w:numFmt w:val="bullet"/>
      <w:lvlText w:val="•"/>
      <w:lvlJc w:val="left"/>
      <w:pPr>
        <w:ind w:left="4277" w:hanging="319"/>
      </w:pPr>
      <w:rPr>
        <w:rFonts w:hint="default"/>
      </w:rPr>
    </w:lvl>
    <w:lvl w:ilvl="8" w:tplc="61F67B68">
      <w:start w:val="1"/>
      <w:numFmt w:val="bullet"/>
      <w:lvlText w:val="•"/>
      <w:lvlJc w:val="left"/>
      <w:pPr>
        <w:ind w:left="4943" w:hanging="319"/>
      </w:pPr>
      <w:rPr>
        <w:rFonts w:hint="default"/>
      </w:rPr>
    </w:lvl>
  </w:abstractNum>
  <w:abstractNum w:abstractNumId="8" w15:restartNumberingAfterBreak="0">
    <w:nsid w:val="699264B1"/>
    <w:multiLevelType w:val="hybridMultilevel"/>
    <w:tmpl w:val="E2B4D942"/>
    <w:lvl w:ilvl="0" w:tplc="65B06688">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9" w15:restartNumberingAfterBreak="0">
    <w:nsid w:val="775F5915"/>
    <w:multiLevelType w:val="hybridMultilevel"/>
    <w:tmpl w:val="E700B1EE"/>
    <w:lvl w:ilvl="0" w:tplc="790E8A6C">
      <w:start w:val="1"/>
      <w:numFmt w:val="lowerLetter"/>
      <w:lvlText w:val="(%1)"/>
      <w:lvlJc w:val="left"/>
      <w:pPr>
        <w:ind w:left="1246" w:hanging="555"/>
      </w:pPr>
      <w:rPr>
        <w:rFonts w:hint="default"/>
      </w:rPr>
    </w:lvl>
    <w:lvl w:ilvl="1" w:tplc="08090019" w:tentative="1">
      <w:start w:val="1"/>
      <w:numFmt w:val="lowerLetter"/>
      <w:lvlText w:val="%2."/>
      <w:lvlJc w:val="left"/>
      <w:pPr>
        <w:ind w:left="1771" w:hanging="360"/>
      </w:pPr>
    </w:lvl>
    <w:lvl w:ilvl="2" w:tplc="0809001B" w:tentative="1">
      <w:start w:val="1"/>
      <w:numFmt w:val="lowerRoman"/>
      <w:lvlText w:val="%3."/>
      <w:lvlJc w:val="right"/>
      <w:pPr>
        <w:ind w:left="2491" w:hanging="180"/>
      </w:pPr>
    </w:lvl>
    <w:lvl w:ilvl="3" w:tplc="0809000F" w:tentative="1">
      <w:start w:val="1"/>
      <w:numFmt w:val="decimal"/>
      <w:lvlText w:val="%4."/>
      <w:lvlJc w:val="left"/>
      <w:pPr>
        <w:ind w:left="3211" w:hanging="360"/>
      </w:pPr>
    </w:lvl>
    <w:lvl w:ilvl="4" w:tplc="08090019" w:tentative="1">
      <w:start w:val="1"/>
      <w:numFmt w:val="lowerLetter"/>
      <w:lvlText w:val="%5."/>
      <w:lvlJc w:val="left"/>
      <w:pPr>
        <w:ind w:left="3931" w:hanging="360"/>
      </w:pPr>
    </w:lvl>
    <w:lvl w:ilvl="5" w:tplc="0809001B" w:tentative="1">
      <w:start w:val="1"/>
      <w:numFmt w:val="lowerRoman"/>
      <w:lvlText w:val="%6."/>
      <w:lvlJc w:val="right"/>
      <w:pPr>
        <w:ind w:left="4651" w:hanging="180"/>
      </w:pPr>
    </w:lvl>
    <w:lvl w:ilvl="6" w:tplc="0809000F" w:tentative="1">
      <w:start w:val="1"/>
      <w:numFmt w:val="decimal"/>
      <w:lvlText w:val="%7."/>
      <w:lvlJc w:val="left"/>
      <w:pPr>
        <w:ind w:left="5371" w:hanging="360"/>
      </w:pPr>
    </w:lvl>
    <w:lvl w:ilvl="7" w:tplc="08090019" w:tentative="1">
      <w:start w:val="1"/>
      <w:numFmt w:val="lowerLetter"/>
      <w:lvlText w:val="%8."/>
      <w:lvlJc w:val="left"/>
      <w:pPr>
        <w:ind w:left="6091" w:hanging="360"/>
      </w:pPr>
    </w:lvl>
    <w:lvl w:ilvl="8" w:tplc="0809001B" w:tentative="1">
      <w:start w:val="1"/>
      <w:numFmt w:val="lowerRoman"/>
      <w:lvlText w:val="%9."/>
      <w:lvlJc w:val="right"/>
      <w:pPr>
        <w:ind w:left="6811" w:hanging="180"/>
      </w:pPr>
    </w:lvl>
  </w:abstractNum>
  <w:num w:numId="1">
    <w:abstractNumId w:val="0"/>
  </w:num>
  <w:num w:numId="2">
    <w:abstractNumId w:val="9"/>
  </w:num>
  <w:num w:numId="3">
    <w:abstractNumId w:val="1"/>
  </w:num>
  <w:num w:numId="4">
    <w:abstractNumId w:val="6"/>
  </w:num>
  <w:num w:numId="5">
    <w:abstractNumId w:val="2"/>
  </w:num>
  <w:num w:numId="6">
    <w:abstractNumId w:val="8"/>
  </w:num>
  <w:num w:numId="7">
    <w:abstractNumId w:val="4"/>
  </w:num>
  <w:num w:numId="8">
    <w:abstractNumId w:val="3"/>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6"/>
  <w:embedSystemFonts/>
  <w:bordersDoNotSurroundHeader/>
  <w:bordersDoNotSurroundFooter/>
  <w:proofState w:spelling="clean"/>
  <w:attachedTemplate r:id="rId1"/>
  <w:defaultTabStop w:val="567"/>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62C"/>
    <w:rsid w:val="00000812"/>
    <w:rsid w:val="00003DCF"/>
    <w:rsid w:val="00004F6B"/>
    <w:rsid w:val="00005EE8"/>
    <w:rsid w:val="00010B81"/>
    <w:rsid w:val="000133A8"/>
    <w:rsid w:val="00023D2F"/>
    <w:rsid w:val="000242FF"/>
    <w:rsid w:val="00024D3E"/>
    <w:rsid w:val="000320DC"/>
    <w:rsid w:val="00033C53"/>
    <w:rsid w:val="00035A1E"/>
    <w:rsid w:val="00044972"/>
    <w:rsid w:val="00045A94"/>
    <w:rsid w:val="000465B7"/>
    <w:rsid w:val="000468C7"/>
    <w:rsid w:val="000608EE"/>
    <w:rsid w:val="000614EF"/>
    <w:rsid w:val="000622BB"/>
    <w:rsid w:val="00066DEF"/>
    <w:rsid w:val="0007067C"/>
    <w:rsid w:val="00073F78"/>
    <w:rsid w:val="000744EC"/>
    <w:rsid w:val="00074AFC"/>
    <w:rsid w:val="000757E1"/>
    <w:rsid w:val="00076FF5"/>
    <w:rsid w:val="00077C38"/>
    <w:rsid w:val="00080C29"/>
    <w:rsid w:val="00080C45"/>
    <w:rsid w:val="000814D8"/>
    <w:rsid w:val="000835C8"/>
    <w:rsid w:val="00084A4D"/>
    <w:rsid w:val="00086164"/>
    <w:rsid w:val="000A21E7"/>
    <w:rsid w:val="000A2439"/>
    <w:rsid w:val="000A4D98"/>
    <w:rsid w:val="000A550D"/>
    <w:rsid w:val="000B4FB6"/>
    <w:rsid w:val="000B54EB"/>
    <w:rsid w:val="000B60FA"/>
    <w:rsid w:val="000C01AC"/>
    <w:rsid w:val="000C416E"/>
    <w:rsid w:val="000C5263"/>
    <w:rsid w:val="000D2F5A"/>
    <w:rsid w:val="000D3B3A"/>
    <w:rsid w:val="000D3C08"/>
    <w:rsid w:val="000E21FC"/>
    <w:rsid w:val="000E427F"/>
    <w:rsid w:val="000E43A3"/>
    <w:rsid w:val="000E5C90"/>
    <w:rsid w:val="000F1E72"/>
    <w:rsid w:val="000F4429"/>
    <w:rsid w:val="000F7993"/>
    <w:rsid w:val="001128C3"/>
    <w:rsid w:val="00115E04"/>
    <w:rsid w:val="001167B1"/>
    <w:rsid w:val="00121135"/>
    <w:rsid w:val="00133371"/>
    <w:rsid w:val="00133FE3"/>
    <w:rsid w:val="00141942"/>
    <w:rsid w:val="00142743"/>
    <w:rsid w:val="00143E17"/>
    <w:rsid w:val="00152AB1"/>
    <w:rsid w:val="001565F4"/>
    <w:rsid w:val="00157469"/>
    <w:rsid w:val="0015761F"/>
    <w:rsid w:val="001636EC"/>
    <w:rsid w:val="00164718"/>
    <w:rsid w:val="00166502"/>
    <w:rsid w:val="001761C1"/>
    <w:rsid w:val="00186652"/>
    <w:rsid w:val="001B032A"/>
    <w:rsid w:val="001B0E17"/>
    <w:rsid w:val="001B2C14"/>
    <w:rsid w:val="001B638D"/>
    <w:rsid w:val="001B66AB"/>
    <w:rsid w:val="001C081C"/>
    <w:rsid w:val="001C1B1A"/>
    <w:rsid w:val="001C3895"/>
    <w:rsid w:val="001D22A0"/>
    <w:rsid w:val="001D6485"/>
    <w:rsid w:val="001E2B91"/>
    <w:rsid w:val="001E402E"/>
    <w:rsid w:val="001E42D4"/>
    <w:rsid w:val="001F2A4A"/>
    <w:rsid w:val="00216D23"/>
    <w:rsid w:val="00221C58"/>
    <w:rsid w:val="00226318"/>
    <w:rsid w:val="0023567D"/>
    <w:rsid w:val="00255B09"/>
    <w:rsid w:val="00261EC4"/>
    <w:rsid w:val="00265308"/>
    <w:rsid w:val="002655B6"/>
    <w:rsid w:val="002668F9"/>
    <w:rsid w:val="0027399E"/>
    <w:rsid w:val="0027421A"/>
    <w:rsid w:val="00275EF6"/>
    <w:rsid w:val="00280DCD"/>
    <w:rsid w:val="002831B8"/>
    <w:rsid w:val="00286A4D"/>
    <w:rsid w:val="00286E57"/>
    <w:rsid w:val="002907F0"/>
    <w:rsid w:val="00295078"/>
    <w:rsid w:val="002964E7"/>
    <w:rsid w:val="002A044B"/>
    <w:rsid w:val="002A4499"/>
    <w:rsid w:val="002A6CF2"/>
    <w:rsid w:val="002B4E1F"/>
    <w:rsid w:val="002D1D4C"/>
    <w:rsid w:val="002D4ED3"/>
    <w:rsid w:val="002E3094"/>
    <w:rsid w:val="002F0E06"/>
    <w:rsid w:val="002F4347"/>
    <w:rsid w:val="00304858"/>
    <w:rsid w:val="003054C8"/>
    <w:rsid w:val="00312523"/>
    <w:rsid w:val="003201AA"/>
    <w:rsid w:val="00330E75"/>
    <w:rsid w:val="00332A15"/>
    <w:rsid w:val="003369CE"/>
    <w:rsid w:val="00336B1F"/>
    <w:rsid w:val="003407C1"/>
    <w:rsid w:val="003420E8"/>
    <w:rsid w:val="00342579"/>
    <w:rsid w:val="003449A3"/>
    <w:rsid w:val="0035589F"/>
    <w:rsid w:val="00363299"/>
    <w:rsid w:val="00363E94"/>
    <w:rsid w:val="0036423F"/>
    <w:rsid w:val="00366718"/>
    <w:rsid w:val="0037208D"/>
    <w:rsid w:val="003727E9"/>
    <w:rsid w:val="003778DA"/>
    <w:rsid w:val="00377FBD"/>
    <w:rsid w:val="00380973"/>
    <w:rsid w:val="003831C1"/>
    <w:rsid w:val="003837C6"/>
    <w:rsid w:val="0038396C"/>
    <w:rsid w:val="00384757"/>
    <w:rsid w:val="00394930"/>
    <w:rsid w:val="00394B3B"/>
    <w:rsid w:val="003A5DAC"/>
    <w:rsid w:val="003B440D"/>
    <w:rsid w:val="003B6581"/>
    <w:rsid w:val="003C37A0"/>
    <w:rsid w:val="003C5F5A"/>
    <w:rsid w:val="003C7232"/>
    <w:rsid w:val="003D233B"/>
    <w:rsid w:val="003D3101"/>
    <w:rsid w:val="003D4EAA"/>
    <w:rsid w:val="003D76EF"/>
    <w:rsid w:val="003E2DE5"/>
    <w:rsid w:val="003E6206"/>
    <w:rsid w:val="003E763D"/>
    <w:rsid w:val="003E76D6"/>
    <w:rsid w:val="003F6D96"/>
    <w:rsid w:val="00401FBB"/>
    <w:rsid w:val="00403160"/>
    <w:rsid w:val="00406360"/>
    <w:rsid w:val="00415AA4"/>
    <w:rsid w:val="00416A53"/>
    <w:rsid w:val="00424C03"/>
    <w:rsid w:val="00426221"/>
    <w:rsid w:val="00426C2D"/>
    <w:rsid w:val="004347BA"/>
    <w:rsid w:val="00443021"/>
    <w:rsid w:val="00450158"/>
    <w:rsid w:val="00453046"/>
    <w:rsid w:val="00453682"/>
    <w:rsid w:val="00456986"/>
    <w:rsid w:val="00466077"/>
    <w:rsid w:val="00474D22"/>
    <w:rsid w:val="00481E77"/>
    <w:rsid w:val="00491FC6"/>
    <w:rsid w:val="004920DB"/>
    <w:rsid w:val="00494F0F"/>
    <w:rsid w:val="0049507E"/>
    <w:rsid w:val="004A01D1"/>
    <w:rsid w:val="004B13C6"/>
    <w:rsid w:val="004B5A3C"/>
    <w:rsid w:val="004C1DA0"/>
    <w:rsid w:val="004D0854"/>
    <w:rsid w:val="004D2F3F"/>
    <w:rsid w:val="004D2FFC"/>
    <w:rsid w:val="004D67C8"/>
    <w:rsid w:val="004E4868"/>
    <w:rsid w:val="004E5244"/>
    <w:rsid w:val="004F2274"/>
    <w:rsid w:val="004F7202"/>
    <w:rsid w:val="004F72F4"/>
    <w:rsid w:val="00501CAB"/>
    <w:rsid w:val="00503297"/>
    <w:rsid w:val="005101FF"/>
    <w:rsid w:val="00512242"/>
    <w:rsid w:val="00512DA3"/>
    <w:rsid w:val="00514000"/>
    <w:rsid w:val="00515D04"/>
    <w:rsid w:val="00524ECC"/>
    <w:rsid w:val="00527ABE"/>
    <w:rsid w:val="00532451"/>
    <w:rsid w:val="00542D73"/>
    <w:rsid w:val="0054324D"/>
    <w:rsid w:val="005509DA"/>
    <w:rsid w:val="005536D7"/>
    <w:rsid w:val="0055440A"/>
    <w:rsid w:val="0056066A"/>
    <w:rsid w:val="005646F3"/>
    <w:rsid w:val="00564B66"/>
    <w:rsid w:val="00572B50"/>
    <w:rsid w:val="00574AEC"/>
    <w:rsid w:val="00577B02"/>
    <w:rsid w:val="00582A2E"/>
    <w:rsid w:val="0058749F"/>
    <w:rsid w:val="005955EA"/>
    <w:rsid w:val="00597B78"/>
    <w:rsid w:val="005A2789"/>
    <w:rsid w:val="005A3102"/>
    <w:rsid w:val="005B23AF"/>
    <w:rsid w:val="005C25CF"/>
    <w:rsid w:val="005C303C"/>
    <w:rsid w:val="005C7F82"/>
    <w:rsid w:val="005D0866"/>
    <w:rsid w:val="005D537D"/>
    <w:rsid w:val="005D5858"/>
    <w:rsid w:val="005D5C82"/>
    <w:rsid w:val="005D5CAF"/>
    <w:rsid w:val="005E0DE1"/>
    <w:rsid w:val="005E75FD"/>
    <w:rsid w:val="00601274"/>
    <w:rsid w:val="00604AAC"/>
    <w:rsid w:val="00607964"/>
    <w:rsid w:val="00613086"/>
    <w:rsid w:val="0062075A"/>
    <w:rsid w:val="006263DB"/>
    <w:rsid w:val="006271AA"/>
    <w:rsid w:val="00634DA7"/>
    <w:rsid w:val="006350C4"/>
    <w:rsid w:val="00642772"/>
    <w:rsid w:val="00642844"/>
    <w:rsid w:val="0064300C"/>
    <w:rsid w:val="0064409B"/>
    <w:rsid w:val="00645C44"/>
    <w:rsid w:val="00651EA5"/>
    <w:rsid w:val="006541DD"/>
    <w:rsid w:val="0065606C"/>
    <w:rsid w:val="0065745C"/>
    <w:rsid w:val="00660511"/>
    <w:rsid w:val="00672978"/>
    <w:rsid w:val="006737D3"/>
    <w:rsid w:val="0067435B"/>
    <w:rsid w:val="0067609F"/>
    <w:rsid w:val="00687058"/>
    <w:rsid w:val="00694677"/>
    <w:rsid w:val="00697FAC"/>
    <w:rsid w:val="006A03A3"/>
    <w:rsid w:val="006A11C3"/>
    <w:rsid w:val="006A6EA7"/>
    <w:rsid w:val="006A74BC"/>
    <w:rsid w:val="006B0358"/>
    <w:rsid w:val="006B503F"/>
    <w:rsid w:val="006B64A8"/>
    <w:rsid w:val="006C24CB"/>
    <w:rsid w:val="006C570C"/>
    <w:rsid w:val="006C6020"/>
    <w:rsid w:val="006D0225"/>
    <w:rsid w:val="006D1681"/>
    <w:rsid w:val="006D2E1F"/>
    <w:rsid w:val="006D4749"/>
    <w:rsid w:val="006F594C"/>
    <w:rsid w:val="006F7F2A"/>
    <w:rsid w:val="00701118"/>
    <w:rsid w:val="007022FD"/>
    <w:rsid w:val="00703454"/>
    <w:rsid w:val="00704C6B"/>
    <w:rsid w:val="00705BD4"/>
    <w:rsid w:val="00706159"/>
    <w:rsid w:val="007107EE"/>
    <w:rsid w:val="00714BA2"/>
    <w:rsid w:val="007166C4"/>
    <w:rsid w:val="007211A4"/>
    <w:rsid w:val="00724D12"/>
    <w:rsid w:val="00726D6D"/>
    <w:rsid w:val="00727E48"/>
    <w:rsid w:val="00732D8B"/>
    <w:rsid w:val="00737805"/>
    <w:rsid w:val="00740FDE"/>
    <w:rsid w:val="00741F58"/>
    <w:rsid w:val="0074251A"/>
    <w:rsid w:val="00746B11"/>
    <w:rsid w:val="007472C3"/>
    <w:rsid w:val="0075097C"/>
    <w:rsid w:val="00752131"/>
    <w:rsid w:val="00760524"/>
    <w:rsid w:val="00760B40"/>
    <w:rsid w:val="00761321"/>
    <w:rsid w:val="00761937"/>
    <w:rsid w:val="00772C52"/>
    <w:rsid w:val="007826D3"/>
    <w:rsid w:val="00793315"/>
    <w:rsid w:val="00794D4F"/>
    <w:rsid w:val="007A0311"/>
    <w:rsid w:val="007A4003"/>
    <w:rsid w:val="007A5F9C"/>
    <w:rsid w:val="007B307E"/>
    <w:rsid w:val="007C01FC"/>
    <w:rsid w:val="007C2592"/>
    <w:rsid w:val="007C276C"/>
    <w:rsid w:val="007D4551"/>
    <w:rsid w:val="007D662E"/>
    <w:rsid w:val="007E1918"/>
    <w:rsid w:val="007E2B35"/>
    <w:rsid w:val="007E30CA"/>
    <w:rsid w:val="007E461E"/>
    <w:rsid w:val="007E4620"/>
    <w:rsid w:val="007E4FEC"/>
    <w:rsid w:val="007E5CEF"/>
    <w:rsid w:val="007F010C"/>
    <w:rsid w:val="007F1473"/>
    <w:rsid w:val="007F365E"/>
    <w:rsid w:val="007F45A7"/>
    <w:rsid w:val="00800A2F"/>
    <w:rsid w:val="00806ACE"/>
    <w:rsid w:val="00807638"/>
    <w:rsid w:val="00825C43"/>
    <w:rsid w:val="0083145E"/>
    <w:rsid w:val="008351B0"/>
    <w:rsid w:val="0084469D"/>
    <w:rsid w:val="00844B2D"/>
    <w:rsid w:val="008516B2"/>
    <w:rsid w:val="008604B2"/>
    <w:rsid w:val="00861DFE"/>
    <w:rsid w:val="00862825"/>
    <w:rsid w:val="00874F6F"/>
    <w:rsid w:val="00875062"/>
    <w:rsid w:val="008754D1"/>
    <w:rsid w:val="00876300"/>
    <w:rsid w:val="0087687F"/>
    <w:rsid w:val="008819AD"/>
    <w:rsid w:val="00886238"/>
    <w:rsid w:val="00892211"/>
    <w:rsid w:val="008938F7"/>
    <w:rsid w:val="008956EA"/>
    <w:rsid w:val="008972AF"/>
    <w:rsid w:val="008A053C"/>
    <w:rsid w:val="008A523D"/>
    <w:rsid w:val="008A6BB2"/>
    <w:rsid w:val="008B3137"/>
    <w:rsid w:val="008B568D"/>
    <w:rsid w:val="008B5FE3"/>
    <w:rsid w:val="008C2C1A"/>
    <w:rsid w:val="008D3142"/>
    <w:rsid w:val="008D7F66"/>
    <w:rsid w:val="008E23FF"/>
    <w:rsid w:val="008E44B6"/>
    <w:rsid w:val="00901BEF"/>
    <w:rsid w:val="009026ED"/>
    <w:rsid w:val="009055B3"/>
    <w:rsid w:val="00905B0F"/>
    <w:rsid w:val="00906749"/>
    <w:rsid w:val="00914263"/>
    <w:rsid w:val="009202D3"/>
    <w:rsid w:val="00922786"/>
    <w:rsid w:val="0093242F"/>
    <w:rsid w:val="00933C53"/>
    <w:rsid w:val="0093409E"/>
    <w:rsid w:val="00940A34"/>
    <w:rsid w:val="0094272F"/>
    <w:rsid w:val="00956BB1"/>
    <w:rsid w:val="00961AC0"/>
    <w:rsid w:val="00962DC7"/>
    <w:rsid w:val="00963D1F"/>
    <w:rsid w:val="00965D02"/>
    <w:rsid w:val="009674A5"/>
    <w:rsid w:val="0097618B"/>
    <w:rsid w:val="009774F9"/>
    <w:rsid w:val="009830C2"/>
    <w:rsid w:val="009904A2"/>
    <w:rsid w:val="0099219B"/>
    <w:rsid w:val="00993997"/>
    <w:rsid w:val="009968F2"/>
    <w:rsid w:val="009A393E"/>
    <w:rsid w:val="009A73DE"/>
    <w:rsid w:val="009B0E42"/>
    <w:rsid w:val="009B0E56"/>
    <w:rsid w:val="009D3443"/>
    <w:rsid w:val="009D3DBD"/>
    <w:rsid w:val="009D6597"/>
    <w:rsid w:val="009E66C3"/>
    <w:rsid w:val="009E79BE"/>
    <w:rsid w:val="009F0962"/>
    <w:rsid w:val="009F0F2B"/>
    <w:rsid w:val="009F33C9"/>
    <w:rsid w:val="009F4A96"/>
    <w:rsid w:val="009F7600"/>
    <w:rsid w:val="00A03365"/>
    <w:rsid w:val="00A07879"/>
    <w:rsid w:val="00A1474E"/>
    <w:rsid w:val="00A1618E"/>
    <w:rsid w:val="00A23E01"/>
    <w:rsid w:val="00A24135"/>
    <w:rsid w:val="00A25C8D"/>
    <w:rsid w:val="00A350E4"/>
    <w:rsid w:val="00A41A02"/>
    <w:rsid w:val="00A50D6A"/>
    <w:rsid w:val="00A60798"/>
    <w:rsid w:val="00A60BC7"/>
    <w:rsid w:val="00A62552"/>
    <w:rsid w:val="00A65C80"/>
    <w:rsid w:val="00A7060B"/>
    <w:rsid w:val="00A70FA1"/>
    <w:rsid w:val="00A82C3D"/>
    <w:rsid w:val="00A927B8"/>
    <w:rsid w:val="00A92C42"/>
    <w:rsid w:val="00A9562C"/>
    <w:rsid w:val="00A96B49"/>
    <w:rsid w:val="00A96D72"/>
    <w:rsid w:val="00AA0BC7"/>
    <w:rsid w:val="00AA1563"/>
    <w:rsid w:val="00AA24D4"/>
    <w:rsid w:val="00AA3D5F"/>
    <w:rsid w:val="00AA41AD"/>
    <w:rsid w:val="00AB3AEC"/>
    <w:rsid w:val="00AB4E72"/>
    <w:rsid w:val="00AB5B30"/>
    <w:rsid w:val="00AB67CC"/>
    <w:rsid w:val="00AC0484"/>
    <w:rsid w:val="00AC2203"/>
    <w:rsid w:val="00AC2903"/>
    <w:rsid w:val="00AC48A2"/>
    <w:rsid w:val="00AC4FD6"/>
    <w:rsid w:val="00AC571E"/>
    <w:rsid w:val="00AD2FDB"/>
    <w:rsid w:val="00AE00C3"/>
    <w:rsid w:val="00AE1D85"/>
    <w:rsid w:val="00AE6B19"/>
    <w:rsid w:val="00AF18B9"/>
    <w:rsid w:val="00AF43EC"/>
    <w:rsid w:val="00AF4B41"/>
    <w:rsid w:val="00AF5241"/>
    <w:rsid w:val="00AF68FC"/>
    <w:rsid w:val="00B029A1"/>
    <w:rsid w:val="00B05653"/>
    <w:rsid w:val="00B13906"/>
    <w:rsid w:val="00B15262"/>
    <w:rsid w:val="00B173DC"/>
    <w:rsid w:val="00B2275A"/>
    <w:rsid w:val="00B23CAE"/>
    <w:rsid w:val="00B26C33"/>
    <w:rsid w:val="00B34C80"/>
    <w:rsid w:val="00B4106D"/>
    <w:rsid w:val="00B419BA"/>
    <w:rsid w:val="00B44C4A"/>
    <w:rsid w:val="00B47524"/>
    <w:rsid w:val="00B55602"/>
    <w:rsid w:val="00B61E7F"/>
    <w:rsid w:val="00B66E4C"/>
    <w:rsid w:val="00B74BEC"/>
    <w:rsid w:val="00B87707"/>
    <w:rsid w:val="00B8798B"/>
    <w:rsid w:val="00B87FDA"/>
    <w:rsid w:val="00B94F2F"/>
    <w:rsid w:val="00B95422"/>
    <w:rsid w:val="00BA1DD0"/>
    <w:rsid w:val="00BA6B35"/>
    <w:rsid w:val="00BC21B8"/>
    <w:rsid w:val="00BC3E37"/>
    <w:rsid w:val="00BC4DCF"/>
    <w:rsid w:val="00BC697F"/>
    <w:rsid w:val="00BD4143"/>
    <w:rsid w:val="00BD5386"/>
    <w:rsid w:val="00BE17CD"/>
    <w:rsid w:val="00BE1E9C"/>
    <w:rsid w:val="00BE2F23"/>
    <w:rsid w:val="00BE6884"/>
    <w:rsid w:val="00BE7044"/>
    <w:rsid w:val="00BE7D34"/>
    <w:rsid w:val="00BF0042"/>
    <w:rsid w:val="00BF07A3"/>
    <w:rsid w:val="00BF0967"/>
    <w:rsid w:val="00BF5DA1"/>
    <w:rsid w:val="00C020A0"/>
    <w:rsid w:val="00C07D1F"/>
    <w:rsid w:val="00C12F2A"/>
    <w:rsid w:val="00C15EE6"/>
    <w:rsid w:val="00C221E5"/>
    <w:rsid w:val="00C2525F"/>
    <w:rsid w:val="00C27873"/>
    <w:rsid w:val="00C30331"/>
    <w:rsid w:val="00C332FE"/>
    <w:rsid w:val="00C35013"/>
    <w:rsid w:val="00C4304F"/>
    <w:rsid w:val="00C509C1"/>
    <w:rsid w:val="00C700C6"/>
    <w:rsid w:val="00C74183"/>
    <w:rsid w:val="00C74CDA"/>
    <w:rsid w:val="00C778D1"/>
    <w:rsid w:val="00C82530"/>
    <w:rsid w:val="00C85052"/>
    <w:rsid w:val="00C863E3"/>
    <w:rsid w:val="00CA1AEE"/>
    <w:rsid w:val="00CA242D"/>
    <w:rsid w:val="00CA67D0"/>
    <w:rsid w:val="00CA69A3"/>
    <w:rsid w:val="00CB2BFD"/>
    <w:rsid w:val="00CB68BA"/>
    <w:rsid w:val="00CB6BDD"/>
    <w:rsid w:val="00CC2809"/>
    <w:rsid w:val="00CC767B"/>
    <w:rsid w:val="00CD68CE"/>
    <w:rsid w:val="00CE447C"/>
    <w:rsid w:val="00CE6415"/>
    <w:rsid w:val="00CE7759"/>
    <w:rsid w:val="00CF1986"/>
    <w:rsid w:val="00CF30C1"/>
    <w:rsid w:val="00D021A1"/>
    <w:rsid w:val="00D07320"/>
    <w:rsid w:val="00D116B8"/>
    <w:rsid w:val="00D17C4F"/>
    <w:rsid w:val="00D23821"/>
    <w:rsid w:val="00D263A2"/>
    <w:rsid w:val="00D31166"/>
    <w:rsid w:val="00D400F5"/>
    <w:rsid w:val="00D43726"/>
    <w:rsid w:val="00D45D02"/>
    <w:rsid w:val="00D503C4"/>
    <w:rsid w:val="00D51089"/>
    <w:rsid w:val="00D574A4"/>
    <w:rsid w:val="00D63698"/>
    <w:rsid w:val="00D87E89"/>
    <w:rsid w:val="00D94444"/>
    <w:rsid w:val="00D9603B"/>
    <w:rsid w:val="00DA3240"/>
    <w:rsid w:val="00DA5C40"/>
    <w:rsid w:val="00DB60E4"/>
    <w:rsid w:val="00DC433F"/>
    <w:rsid w:val="00DC6273"/>
    <w:rsid w:val="00DC6485"/>
    <w:rsid w:val="00DC7EE1"/>
    <w:rsid w:val="00DD0E75"/>
    <w:rsid w:val="00DD1C78"/>
    <w:rsid w:val="00DD2076"/>
    <w:rsid w:val="00DE1053"/>
    <w:rsid w:val="00DE4054"/>
    <w:rsid w:val="00DF0566"/>
    <w:rsid w:val="00E0318D"/>
    <w:rsid w:val="00E0419C"/>
    <w:rsid w:val="00E04F02"/>
    <w:rsid w:val="00E07CEC"/>
    <w:rsid w:val="00E1254C"/>
    <w:rsid w:val="00E16908"/>
    <w:rsid w:val="00E21488"/>
    <w:rsid w:val="00E23CAC"/>
    <w:rsid w:val="00E263B2"/>
    <w:rsid w:val="00E31562"/>
    <w:rsid w:val="00E31801"/>
    <w:rsid w:val="00E329A5"/>
    <w:rsid w:val="00E33916"/>
    <w:rsid w:val="00E36C4F"/>
    <w:rsid w:val="00E54592"/>
    <w:rsid w:val="00E55495"/>
    <w:rsid w:val="00E56722"/>
    <w:rsid w:val="00E57A03"/>
    <w:rsid w:val="00E612E3"/>
    <w:rsid w:val="00E64929"/>
    <w:rsid w:val="00E70AA9"/>
    <w:rsid w:val="00E72110"/>
    <w:rsid w:val="00E724E8"/>
    <w:rsid w:val="00E72A09"/>
    <w:rsid w:val="00E77968"/>
    <w:rsid w:val="00E82178"/>
    <w:rsid w:val="00E84C22"/>
    <w:rsid w:val="00E85219"/>
    <w:rsid w:val="00E85BDF"/>
    <w:rsid w:val="00E93CB2"/>
    <w:rsid w:val="00EA3CEA"/>
    <w:rsid w:val="00EB000A"/>
    <w:rsid w:val="00EB1BBB"/>
    <w:rsid w:val="00EB67E8"/>
    <w:rsid w:val="00EB7298"/>
    <w:rsid w:val="00EC2911"/>
    <w:rsid w:val="00ED0F60"/>
    <w:rsid w:val="00ED6F8F"/>
    <w:rsid w:val="00EE2247"/>
    <w:rsid w:val="00EE29C4"/>
    <w:rsid w:val="00EE2CEA"/>
    <w:rsid w:val="00EE64B7"/>
    <w:rsid w:val="00EF2826"/>
    <w:rsid w:val="00EF3E7B"/>
    <w:rsid w:val="00F045FC"/>
    <w:rsid w:val="00F057A4"/>
    <w:rsid w:val="00F1418D"/>
    <w:rsid w:val="00F22B1C"/>
    <w:rsid w:val="00F23EB1"/>
    <w:rsid w:val="00F2620B"/>
    <w:rsid w:val="00F37578"/>
    <w:rsid w:val="00F52BC9"/>
    <w:rsid w:val="00F552D8"/>
    <w:rsid w:val="00F56938"/>
    <w:rsid w:val="00F60DD2"/>
    <w:rsid w:val="00F63D12"/>
    <w:rsid w:val="00F67230"/>
    <w:rsid w:val="00F714C5"/>
    <w:rsid w:val="00F760D0"/>
    <w:rsid w:val="00F7633C"/>
    <w:rsid w:val="00F83D13"/>
    <w:rsid w:val="00F870B9"/>
    <w:rsid w:val="00F92217"/>
    <w:rsid w:val="00F9429A"/>
    <w:rsid w:val="00F969A2"/>
    <w:rsid w:val="00FA450D"/>
    <w:rsid w:val="00FA6D09"/>
    <w:rsid w:val="00FB2064"/>
    <w:rsid w:val="00FB375A"/>
    <w:rsid w:val="00FB4CB8"/>
    <w:rsid w:val="00FC25AF"/>
    <w:rsid w:val="00FC2B86"/>
    <w:rsid w:val="00FC33A9"/>
    <w:rsid w:val="00FC7A52"/>
    <w:rsid w:val="00FD3A95"/>
    <w:rsid w:val="00FD3B7A"/>
    <w:rsid w:val="00FD54D1"/>
    <w:rsid w:val="00FE139B"/>
    <w:rsid w:val="00FE2F5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AEDC7F7E-9E66-4FB2-BCEE-277E2A35E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tat Normal"/>
    <w:qFormat/>
    <w:rsid w:val="00AF68FC"/>
    <w:pPr>
      <w:spacing w:after="0" w:line="240" w:lineRule="auto"/>
    </w:pPr>
    <w:rPr>
      <w:rFonts w:ascii="Times New Roman" w:hAnsi="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F68FC"/>
    <w:pPr>
      <w:tabs>
        <w:tab w:val="center" w:pos="4513"/>
        <w:tab w:val="right" w:pos="9026"/>
      </w:tabs>
    </w:pPr>
  </w:style>
  <w:style w:type="character" w:customStyle="1" w:styleId="FooterChar">
    <w:name w:val="Footer Char"/>
    <w:basedOn w:val="DefaultParagraphFont"/>
    <w:link w:val="Footer"/>
    <w:uiPriority w:val="99"/>
    <w:rsid w:val="00AF68FC"/>
    <w:rPr>
      <w:rFonts w:ascii="Times New Roman" w:hAnsi="Times New Roman"/>
      <w:noProof/>
    </w:rPr>
  </w:style>
  <w:style w:type="paragraph" w:styleId="Header">
    <w:name w:val="header"/>
    <w:basedOn w:val="Normal"/>
    <w:link w:val="HeaderChar"/>
    <w:uiPriority w:val="99"/>
    <w:unhideWhenUsed/>
    <w:rsid w:val="00AF68FC"/>
    <w:pPr>
      <w:tabs>
        <w:tab w:val="center" w:pos="4513"/>
        <w:tab w:val="right" w:pos="9026"/>
      </w:tabs>
    </w:pPr>
  </w:style>
  <w:style w:type="character" w:customStyle="1" w:styleId="HeaderChar">
    <w:name w:val="Header Char"/>
    <w:basedOn w:val="DefaultParagraphFont"/>
    <w:link w:val="Header"/>
    <w:uiPriority w:val="99"/>
    <w:rsid w:val="00AF68FC"/>
    <w:rPr>
      <w:rFonts w:ascii="Times New Roman" w:hAnsi="Times New Roman"/>
      <w:noProof/>
    </w:rPr>
  </w:style>
  <w:style w:type="paragraph" w:styleId="BalloonText">
    <w:name w:val="Balloon Text"/>
    <w:basedOn w:val="Normal"/>
    <w:link w:val="BalloonTextChar"/>
    <w:uiPriority w:val="99"/>
    <w:semiHidden/>
    <w:unhideWhenUsed/>
    <w:rsid w:val="00AF68FC"/>
    <w:rPr>
      <w:rFonts w:ascii="Tahoma" w:hAnsi="Tahoma" w:cs="Tahoma"/>
      <w:sz w:val="16"/>
      <w:szCs w:val="16"/>
    </w:rPr>
  </w:style>
  <w:style w:type="character" w:customStyle="1" w:styleId="BalloonTextChar">
    <w:name w:val="Balloon Text Char"/>
    <w:basedOn w:val="DefaultParagraphFont"/>
    <w:link w:val="BalloonText"/>
    <w:uiPriority w:val="99"/>
    <w:semiHidden/>
    <w:rsid w:val="00AF68FC"/>
    <w:rPr>
      <w:rFonts w:ascii="Tahoma" w:hAnsi="Tahoma" w:cs="Tahoma"/>
      <w:noProof/>
      <w:sz w:val="16"/>
      <w:szCs w:val="16"/>
    </w:rPr>
  </w:style>
  <w:style w:type="paragraph" w:customStyle="1" w:styleId="AS-H3A">
    <w:name w:val="AS-H3A"/>
    <w:basedOn w:val="Normal"/>
    <w:link w:val="AS-H3AChar"/>
    <w:autoRedefine/>
    <w:qFormat/>
    <w:rsid w:val="00AF68FC"/>
    <w:pPr>
      <w:autoSpaceDE w:val="0"/>
      <w:autoSpaceDN w:val="0"/>
      <w:adjustRightInd w:val="0"/>
      <w:jc w:val="center"/>
    </w:pPr>
    <w:rPr>
      <w:rFonts w:cs="Times New Roman"/>
      <w:caps/>
    </w:rPr>
  </w:style>
  <w:style w:type="paragraph" w:styleId="ListBullet">
    <w:name w:val="List Bullet"/>
    <w:basedOn w:val="Normal"/>
    <w:uiPriority w:val="99"/>
    <w:unhideWhenUsed/>
    <w:rsid w:val="00AF68FC"/>
    <w:pPr>
      <w:numPr>
        <w:numId w:val="1"/>
      </w:numPr>
      <w:contextualSpacing/>
    </w:pPr>
  </w:style>
  <w:style w:type="character" w:customStyle="1" w:styleId="AS-H3AChar">
    <w:name w:val="AS-H3A Char"/>
    <w:basedOn w:val="DefaultParagraphFont"/>
    <w:link w:val="AS-H3A"/>
    <w:rsid w:val="00AF68FC"/>
    <w:rPr>
      <w:rFonts w:ascii="Times New Roman" w:hAnsi="Times New Roman" w:cs="Times New Roman"/>
      <w:caps/>
      <w:noProof/>
    </w:rPr>
  </w:style>
  <w:style w:type="character" w:customStyle="1" w:styleId="A3">
    <w:name w:val="A3"/>
    <w:uiPriority w:val="99"/>
    <w:rsid w:val="00AF68FC"/>
    <w:rPr>
      <w:rFonts w:cs="Times"/>
      <w:color w:val="000000"/>
      <w:sz w:val="22"/>
      <w:szCs w:val="22"/>
    </w:rPr>
  </w:style>
  <w:style w:type="paragraph" w:customStyle="1" w:styleId="Head2B">
    <w:name w:val="Head 2B"/>
    <w:basedOn w:val="AS-H3A"/>
    <w:link w:val="Head2BChar"/>
    <w:rsid w:val="00AF68FC"/>
  </w:style>
  <w:style w:type="paragraph" w:styleId="ListParagraph">
    <w:name w:val="List Paragraph"/>
    <w:basedOn w:val="Normal"/>
    <w:link w:val="ListParagraphChar"/>
    <w:uiPriority w:val="34"/>
    <w:qFormat/>
    <w:rsid w:val="00AF68FC"/>
    <w:pPr>
      <w:ind w:left="720"/>
      <w:contextualSpacing/>
    </w:pPr>
  </w:style>
  <w:style w:type="character" w:customStyle="1" w:styleId="Head2BChar">
    <w:name w:val="Head 2B Char"/>
    <w:basedOn w:val="AS-H3AChar"/>
    <w:link w:val="Head2B"/>
    <w:rsid w:val="00AF68FC"/>
    <w:rPr>
      <w:rFonts w:ascii="Times New Roman" w:hAnsi="Times New Roman" w:cs="Times New Roman"/>
      <w:caps/>
      <w:noProof/>
    </w:rPr>
  </w:style>
  <w:style w:type="paragraph" w:customStyle="1" w:styleId="Head3">
    <w:name w:val="Head 3"/>
    <w:basedOn w:val="ListParagraph"/>
    <w:link w:val="Head3Char"/>
    <w:rsid w:val="00AF68FC"/>
    <w:pPr>
      <w:suppressAutoHyphens/>
      <w:ind w:left="0"/>
      <w:jc w:val="both"/>
    </w:pPr>
    <w:rPr>
      <w:rFonts w:eastAsia="Times New Roman" w:cs="Times New Roman"/>
      <w:b/>
      <w:bCs/>
    </w:rPr>
  </w:style>
  <w:style w:type="character" w:customStyle="1" w:styleId="ListParagraphChar">
    <w:name w:val="List Paragraph Char"/>
    <w:basedOn w:val="DefaultParagraphFont"/>
    <w:link w:val="ListParagraph"/>
    <w:uiPriority w:val="34"/>
    <w:rsid w:val="00AF68FC"/>
    <w:rPr>
      <w:rFonts w:ascii="Times New Roman" w:hAnsi="Times New Roman"/>
      <w:noProof/>
    </w:rPr>
  </w:style>
  <w:style w:type="character" w:customStyle="1" w:styleId="Head3Char">
    <w:name w:val="Head 3 Char"/>
    <w:basedOn w:val="ListParagraphChar"/>
    <w:link w:val="Head3"/>
    <w:rsid w:val="00AF68FC"/>
    <w:rPr>
      <w:rFonts w:ascii="Times New Roman" w:eastAsia="Times New Roman" w:hAnsi="Times New Roman" w:cs="Times New Roman"/>
      <w:b/>
      <w:bCs/>
      <w:noProof/>
    </w:rPr>
  </w:style>
  <w:style w:type="paragraph" w:customStyle="1" w:styleId="AS-H1a">
    <w:name w:val="AS-H1a"/>
    <w:basedOn w:val="Normal"/>
    <w:link w:val="AS-H1aChar"/>
    <w:qFormat/>
    <w:rsid w:val="00AF68FC"/>
    <w:pPr>
      <w:suppressAutoHyphens/>
      <w:autoSpaceDE w:val="0"/>
      <w:autoSpaceDN w:val="0"/>
      <w:adjustRightInd w:val="0"/>
      <w:jc w:val="center"/>
    </w:pPr>
    <w:rPr>
      <w:rFonts w:ascii="Arial" w:hAnsi="Arial" w:cs="Arial"/>
      <w:b/>
      <w:sz w:val="36"/>
      <w:szCs w:val="36"/>
    </w:rPr>
  </w:style>
  <w:style w:type="paragraph" w:customStyle="1" w:styleId="AS-H2">
    <w:name w:val="AS-H2"/>
    <w:basedOn w:val="Normal"/>
    <w:link w:val="AS-H2Char"/>
    <w:autoRedefine/>
    <w:qFormat/>
    <w:rsid w:val="00AF68FC"/>
    <w:pPr>
      <w:suppressAutoHyphens/>
      <w:autoSpaceDE w:val="0"/>
      <w:autoSpaceDN w:val="0"/>
      <w:adjustRightInd w:val="0"/>
      <w:jc w:val="center"/>
    </w:pPr>
    <w:rPr>
      <w:rFonts w:cs="Times New Roman"/>
      <w:b/>
      <w:caps/>
      <w:color w:val="000000"/>
      <w:sz w:val="26"/>
    </w:rPr>
  </w:style>
  <w:style w:type="character" w:customStyle="1" w:styleId="AS-H1aChar">
    <w:name w:val="AS-H1a Char"/>
    <w:basedOn w:val="DefaultParagraphFont"/>
    <w:link w:val="AS-H1a"/>
    <w:rsid w:val="00AF68FC"/>
    <w:rPr>
      <w:rFonts w:ascii="Arial" w:hAnsi="Arial" w:cs="Arial"/>
      <w:b/>
      <w:noProof/>
      <w:sz w:val="36"/>
      <w:szCs w:val="36"/>
    </w:rPr>
  </w:style>
  <w:style w:type="paragraph" w:customStyle="1" w:styleId="AS-H1-Colour">
    <w:name w:val="AS-H1-Colour"/>
    <w:basedOn w:val="Normal"/>
    <w:link w:val="AS-H1-ColourChar"/>
    <w:rsid w:val="00AF68FC"/>
    <w:pPr>
      <w:suppressAutoHyphens/>
      <w:autoSpaceDE w:val="0"/>
      <w:autoSpaceDN w:val="0"/>
      <w:adjustRightInd w:val="0"/>
      <w:jc w:val="center"/>
    </w:pPr>
    <w:rPr>
      <w:rFonts w:ascii="Arial" w:hAnsi="Arial" w:cs="Arial"/>
      <w:b/>
      <w:color w:val="00B050"/>
      <w:sz w:val="36"/>
      <w:szCs w:val="36"/>
    </w:rPr>
  </w:style>
  <w:style w:type="character" w:customStyle="1" w:styleId="AS-H2Char">
    <w:name w:val="AS-H2 Char"/>
    <w:basedOn w:val="DefaultParagraphFont"/>
    <w:link w:val="AS-H2"/>
    <w:rsid w:val="00AF68FC"/>
    <w:rPr>
      <w:rFonts w:ascii="Times New Roman" w:hAnsi="Times New Roman" w:cs="Times New Roman"/>
      <w:b/>
      <w:caps/>
      <w:noProof/>
      <w:color w:val="000000"/>
      <w:sz w:val="26"/>
    </w:rPr>
  </w:style>
  <w:style w:type="paragraph" w:customStyle="1" w:styleId="AS-H2b">
    <w:name w:val="AS-H2b"/>
    <w:basedOn w:val="Normal"/>
    <w:link w:val="AS-H2bChar"/>
    <w:rsid w:val="00AF68FC"/>
    <w:pPr>
      <w:suppressAutoHyphens/>
      <w:autoSpaceDE w:val="0"/>
      <w:autoSpaceDN w:val="0"/>
      <w:adjustRightInd w:val="0"/>
      <w:jc w:val="center"/>
    </w:pPr>
    <w:rPr>
      <w:rFonts w:ascii="Arial" w:hAnsi="Arial" w:cs="Arial"/>
    </w:rPr>
  </w:style>
  <w:style w:type="character" w:customStyle="1" w:styleId="AS-H1-ColourChar">
    <w:name w:val="AS-H1-Colour Char"/>
    <w:basedOn w:val="DefaultParagraphFont"/>
    <w:link w:val="AS-H1-Colour"/>
    <w:rsid w:val="00AF68FC"/>
    <w:rPr>
      <w:rFonts w:ascii="Arial" w:hAnsi="Arial" w:cs="Arial"/>
      <w:b/>
      <w:noProof/>
      <w:color w:val="00B050"/>
      <w:sz w:val="36"/>
      <w:szCs w:val="36"/>
    </w:rPr>
  </w:style>
  <w:style w:type="paragraph" w:customStyle="1" w:styleId="AS-H3">
    <w:name w:val="AS-H3"/>
    <w:basedOn w:val="AS-H3A"/>
    <w:link w:val="AS-H3Char"/>
    <w:rsid w:val="00AF68FC"/>
    <w:rPr>
      <w:sz w:val="28"/>
    </w:rPr>
  </w:style>
  <w:style w:type="character" w:customStyle="1" w:styleId="AS-H2bChar">
    <w:name w:val="AS-H2b Char"/>
    <w:basedOn w:val="DefaultParagraphFont"/>
    <w:link w:val="AS-H2b"/>
    <w:rsid w:val="00AF68FC"/>
    <w:rPr>
      <w:rFonts w:ascii="Arial" w:hAnsi="Arial" w:cs="Arial"/>
      <w:noProof/>
    </w:rPr>
  </w:style>
  <w:style w:type="paragraph" w:customStyle="1" w:styleId="AS-H3b">
    <w:name w:val="AS-H3b"/>
    <w:basedOn w:val="Normal"/>
    <w:link w:val="AS-H3bChar"/>
    <w:autoRedefine/>
    <w:qFormat/>
    <w:rsid w:val="00AF68FC"/>
    <w:pPr>
      <w:jc w:val="center"/>
    </w:pPr>
    <w:rPr>
      <w:rFonts w:cs="Times New Roman"/>
      <w:smallCaps/>
    </w:rPr>
  </w:style>
  <w:style w:type="character" w:customStyle="1" w:styleId="AS-H3Char">
    <w:name w:val="AS-H3 Char"/>
    <w:basedOn w:val="AS-H3AChar"/>
    <w:link w:val="AS-H3"/>
    <w:rsid w:val="00AF68FC"/>
    <w:rPr>
      <w:rFonts w:ascii="Times New Roman" w:hAnsi="Times New Roman" w:cs="Times New Roman"/>
      <w:caps/>
      <w:noProof/>
      <w:sz w:val="28"/>
    </w:rPr>
  </w:style>
  <w:style w:type="paragraph" w:customStyle="1" w:styleId="AS-H3c">
    <w:name w:val="AS-H3c"/>
    <w:basedOn w:val="Head2B"/>
    <w:link w:val="AS-H3cChar"/>
    <w:rsid w:val="00AF68FC"/>
    <w:rPr>
      <w:b/>
    </w:rPr>
  </w:style>
  <w:style w:type="character" w:customStyle="1" w:styleId="AS-H3bChar">
    <w:name w:val="AS-H3b Char"/>
    <w:basedOn w:val="AS-H3AChar"/>
    <w:link w:val="AS-H3b"/>
    <w:rsid w:val="00AF68FC"/>
    <w:rPr>
      <w:rFonts w:ascii="Times New Roman" w:hAnsi="Times New Roman" w:cs="Times New Roman"/>
      <w:caps w:val="0"/>
      <w:smallCaps/>
      <w:noProof/>
    </w:rPr>
  </w:style>
  <w:style w:type="paragraph" w:customStyle="1" w:styleId="AS-H3d">
    <w:name w:val="AS-H3d"/>
    <w:basedOn w:val="Head2B"/>
    <w:link w:val="AS-H3dChar"/>
    <w:rsid w:val="00AF68FC"/>
  </w:style>
  <w:style w:type="character" w:customStyle="1" w:styleId="AS-H3cChar">
    <w:name w:val="AS-H3c Char"/>
    <w:basedOn w:val="Head2BChar"/>
    <w:link w:val="AS-H3c"/>
    <w:rsid w:val="00AF68FC"/>
    <w:rPr>
      <w:rFonts w:ascii="Times New Roman" w:hAnsi="Times New Roman" w:cs="Times New Roman"/>
      <w:b/>
      <w:caps/>
      <w:noProof/>
    </w:rPr>
  </w:style>
  <w:style w:type="paragraph" w:customStyle="1" w:styleId="AS-P0">
    <w:name w:val="AS-P(0)"/>
    <w:basedOn w:val="Normal"/>
    <w:link w:val="AS-P0Char"/>
    <w:qFormat/>
    <w:rsid w:val="00AF68FC"/>
    <w:pPr>
      <w:tabs>
        <w:tab w:val="left" w:pos="567"/>
      </w:tabs>
      <w:jc w:val="both"/>
    </w:pPr>
    <w:rPr>
      <w:rFonts w:eastAsia="Times New Roman" w:cs="Times New Roman"/>
    </w:rPr>
  </w:style>
  <w:style w:type="character" w:customStyle="1" w:styleId="AS-H3dChar">
    <w:name w:val="AS-H3d Char"/>
    <w:basedOn w:val="Head2BChar"/>
    <w:link w:val="AS-H3d"/>
    <w:rsid w:val="00AF68FC"/>
    <w:rPr>
      <w:rFonts w:ascii="Times New Roman" w:hAnsi="Times New Roman" w:cs="Times New Roman"/>
      <w:caps/>
      <w:noProof/>
    </w:rPr>
  </w:style>
  <w:style w:type="paragraph" w:customStyle="1" w:styleId="AS-P1">
    <w:name w:val="AS-P(1)"/>
    <w:basedOn w:val="Normal"/>
    <w:link w:val="AS-P1Char"/>
    <w:qFormat/>
    <w:rsid w:val="00AF68FC"/>
    <w:pPr>
      <w:suppressAutoHyphens/>
      <w:ind w:right="-7" w:firstLine="567"/>
      <w:jc w:val="both"/>
    </w:pPr>
    <w:rPr>
      <w:rFonts w:eastAsia="Times New Roman" w:cs="Times New Roman"/>
    </w:rPr>
  </w:style>
  <w:style w:type="character" w:customStyle="1" w:styleId="AS-P0Char">
    <w:name w:val="AS-P(0) Char"/>
    <w:basedOn w:val="DefaultParagraphFont"/>
    <w:link w:val="AS-P0"/>
    <w:rsid w:val="00AF68FC"/>
    <w:rPr>
      <w:rFonts w:ascii="Times New Roman" w:eastAsia="Times New Roman" w:hAnsi="Times New Roman" w:cs="Times New Roman"/>
      <w:noProof/>
    </w:rPr>
  </w:style>
  <w:style w:type="paragraph" w:customStyle="1" w:styleId="AS-Pa">
    <w:name w:val="AS-P(a)"/>
    <w:basedOn w:val="AS-Pahang"/>
    <w:link w:val="AS-PaChar"/>
    <w:qFormat/>
    <w:rsid w:val="00AF68FC"/>
  </w:style>
  <w:style w:type="character" w:customStyle="1" w:styleId="AS-P1Char">
    <w:name w:val="AS-P(1) Char"/>
    <w:basedOn w:val="DefaultParagraphFont"/>
    <w:link w:val="AS-P1"/>
    <w:rsid w:val="00AF68FC"/>
    <w:rPr>
      <w:rFonts w:ascii="Times New Roman" w:eastAsia="Times New Roman" w:hAnsi="Times New Roman" w:cs="Times New Roman"/>
      <w:noProof/>
    </w:rPr>
  </w:style>
  <w:style w:type="paragraph" w:customStyle="1" w:styleId="AS-Pi">
    <w:name w:val="AS-P(i)"/>
    <w:basedOn w:val="Normal"/>
    <w:link w:val="AS-PiChar"/>
    <w:qFormat/>
    <w:rsid w:val="00AF68FC"/>
    <w:pPr>
      <w:suppressAutoHyphens/>
      <w:ind w:left="1701" w:right="-7" w:hanging="567"/>
      <w:jc w:val="both"/>
    </w:pPr>
    <w:rPr>
      <w:rFonts w:eastAsia="Times New Roman" w:cs="Times New Roman"/>
    </w:rPr>
  </w:style>
  <w:style w:type="character" w:customStyle="1" w:styleId="AS-PaChar">
    <w:name w:val="AS-P(a) Char"/>
    <w:basedOn w:val="DefaultParagraphFont"/>
    <w:link w:val="AS-Pa"/>
    <w:rsid w:val="00AF68FC"/>
    <w:rPr>
      <w:rFonts w:ascii="Times New Roman" w:eastAsia="Times New Roman" w:hAnsi="Times New Roman" w:cs="Times New Roman"/>
      <w:noProof/>
    </w:rPr>
  </w:style>
  <w:style w:type="paragraph" w:customStyle="1" w:styleId="AS-Pahang">
    <w:name w:val="AS-P(a)hang"/>
    <w:basedOn w:val="Normal"/>
    <w:link w:val="AS-PahangChar"/>
    <w:rsid w:val="00AF68FC"/>
    <w:pPr>
      <w:suppressAutoHyphens/>
      <w:ind w:left="1134" w:right="-7" w:hanging="567"/>
      <w:jc w:val="both"/>
    </w:pPr>
    <w:rPr>
      <w:rFonts w:eastAsia="Times New Roman" w:cs="Times New Roman"/>
    </w:rPr>
  </w:style>
  <w:style w:type="character" w:customStyle="1" w:styleId="AS-PiChar">
    <w:name w:val="AS-P(i) Char"/>
    <w:basedOn w:val="DefaultParagraphFont"/>
    <w:link w:val="AS-Pi"/>
    <w:rsid w:val="00AF68FC"/>
    <w:rPr>
      <w:rFonts w:ascii="Times New Roman" w:eastAsia="Times New Roman" w:hAnsi="Times New Roman" w:cs="Times New Roman"/>
      <w:noProof/>
    </w:rPr>
  </w:style>
  <w:style w:type="paragraph" w:customStyle="1" w:styleId="AS-Paa">
    <w:name w:val="AS-P(aa)"/>
    <w:basedOn w:val="Normal"/>
    <w:link w:val="AS-PaaChar"/>
    <w:qFormat/>
    <w:rsid w:val="00AF68FC"/>
    <w:pPr>
      <w:suppressAutoHyphens/>
      <w:ind w:left="2267" w:right="-7" w:hanging="566"/>
      <w:jc w:val="both"/>
    </w:pPr>
    <w:rPr>
      <w:rFonts w:eastAsia="Times New Roman" w:cs="Times New Roman"/>
    </w:rPr>
  </w:style>
  <w:style w:type="character" w:customStyle="1" w:styleId="AS-PahangChar">
    <w:name w:val="AS-P(a)hang Char"/>
    <w:basedOn w:val="DefaultParagraphFont"/>
    <w:link w:val="AS-Pahang"/>
    <w:rsid w:val="00AF68FC"/>
    <w:rPr>
      <w:rFonts w:ascii="Times New Roman" w:eastAsia="Times New Roman" w:hAnsi="Times New Roman" w:cs="Times New Roman"/>
      <w:noProof/>
    </w:rPr>
  </w:style>
  <w:style w:type="paragraph" w:customStyle="1" w:styleId="AS-P-Amend">
    <w:name w:val="AS-P-Amend"/>
    <w:link w:val="AS-P-AmendChar"/>
    <w:qFormat/>
    <w:rsid w:val="00AF68FC"/>
    <w:pPr>
      <w:spacing w:after="0" w:line="240" w:lineRule="auto"/>
      <w:jc w:val="center"/>
    </w:pPr>
    <w:rPr>
      <w:rFonts w:ascii="Arial" w:eastAsia="Times New Roman" w:hAnsi="Arial" w:cs="Arial"/>
      <w:b/>
      <w:noProof/>
      <w:color w:val="00B050"/>
      <w:sz w:val="18"/>
      <w:szCs w:val="18"/>
    </w:rPr>
  </w:style>
  <w:style w:type="character" w:customStyle="1" w:styleId="AS-PaaChar">
    <w:name w:val="AS-P(aa) Char"/>
    <w:basedOn w:val="DefaultParagraphFont"/>
    <w:link w:val="AS-Paa"/>
    <w:rsid w:val="00AF68FC"/>
    <w:rPr>
      <w:rFonts w:ascii="Times New Roman" w:eastAsia="Times New Roman" w:hAnsi="Times New Roman" w:cs="Times New Roman"/>
      <w:noProof/>
    </w:rPr>
  </w:style>
  <w:style w:type="character" w:customStyle="1" w:styleId="AS-P-AmendChar">
    <w:name w:val="AS-P-Amend Char"/>
    <w:basedOn w:val="AS-P0Char"/>
    <w:link w:val="AS-P-Amend"/>
    <w:rsid w:val="00AF68FC"/>
    <w:rPr>
      <w:rFonts w:ascii="Arial" w:eastAsia="Times New Roman" w:hAnsi="Arial" w:cs="Arial"/>
      <w:b/>
      <w:noProof/>
      <w:color w:val="00B050"/>
      <w:sz w:val="18"/>
      <w:szCs w:val="18"/>
    </w:rPr>
  </w:style>
  <w:style w:type="character" w:styleId="CommentReference">
    <w:name w:val="annotation reference"/>
    <w:basedOn w:val="DefaultParagraphFont"/>
    <w:uiPriority w:val="99"/>
    <w:semiHidden/>
    <w:unhideWhenUsed/>
    <w:rsid w:val="00AF68FC"/>
    <w:rPr>
      <w:sz w:val="16"/>
      <w:szCs w:val="16"/>
    </w:rPr>
  </w:style>
  <w:style w:type="paragraph" w:styleId="CommentText">
    <w:name w:val="annotation text"/>
    <w:basedOn w:val="Normal"/>
    <w:link w:val="CommentTextChar"/>
    <w:uiPriority w:val="99"/>
    <w:semiHidden/>
    <w:unhideWhenUsed/>
    <w:rsid w:val="00AF68FC"/>
    <w:rPr>
      <w:sz w:val="20"/>
      <w:szCs w:val="20"/>
    </w:rPr>
  </w:style>
  <w:style w:type="character" w:customStyle="1" w:styleId="CommentTextChar">
    <w:name w:val="Comment Text Char"/>
    <w:basedOn w:val="DefaultParagraphFont"/>
    <w:link w:val="CommentText"/>
    <w:uiPriority w:val="99"/>
    <w:semiHidden/>
    <w:rsid w:val="00AF68FC"/>
    <w:rPr>
      <w:rFonts w:ascii="Times New Roman" w:hAnsi="Times New Roman"/>
      <w:noProof/>
      <w:sz w:val="20"/>
      <w:szCs w:val="20"/>
    </w:rPr>
  </w:style>
  <w:style w:type="paragraph" w:styleId="CommentSubject">
    <w:name w:val="annotation subject"/>
    <w:basedOn w:val="CommentText"/>
    <w:next w:val="CommentText"/>
    <w:link w:val="CommentSubjectChar"/>
    <w:uiPriority w:val="99"/>
    <w:semiHidden/>
    <w:unhideWhenUsed/>
    <w:rsid w:val="00AF68FC"/>
    <w:rPr>
      <w:b/>
      <w:bCs/>
    </w:rPr>
  </w:style>
  <w:style w:type="character" w:customStyle="1" w:styleId="CommentSubjectChar">
    <w:name w:val="Comment Subject Char"/>
    <w:basedOn w:val="CommentTextChar"/>
    <w:link w:val="CommentSubject"/>
    <w:uiPriority w:val="99"/>
    <w:semiHidden/>
    <w:rsid w:val="00AF68FC"/>
    <w:rPr>
      <w:rFonts w:ascii="Times New Roman" w:hAnsi="Times New Roman"/>
      <w:b/>
      <w:bCs/>
      <w:noProof/>
      <w:sz w:val="20"/>
      <w:szCs w:val="20"/>
    </w:rPr>
  </w:style>
  <w:style w:type="paragraph" w:customStyle="1" w:styleId="AS-H4A">
    <w:name w:val="AS-H4A"/>
    <w:basedOn w:val="AS-P0"/>
    <w:link w:val="AS-H4AChar"/>
    <w:rsid w:val="00AF68FC"/>
    <w:pPr>
      <w:tabs>
        <w:tab w:val="clear" w:pos="567"/>
      </w:tabs>
      <w:jc w:val="center"/>
    </w:pPr>
    <w:rPr>
      <w:b/>
      <w:caps/>
    </w:rPr>
  </w:style>
  <w:style w:type="paragraph" w:customStyle="1" w:styleId="AS-H4b">
    <w:name w:val="AS-H4b"/>
    <w:basedOn w:val="AS-P0"/>
    <w:link w:val="AS-H4bChar"/>
    <w:rsid w:val="00AF68FC"/>
    <w:pPr>
      <w:tabs>
        <w:tab w:val="clear" w:pos="567"/>
      </w:tabs>
      <w:jc w:val="center"/>
    </w:pPr>
    <w:rPr>
      <w:b/>
    </w:rPr>
  </w:style>
  <w:style w:type="character" w:customStyle="1" w:styleId="AS-H4AChar">
    <w:name w:val="AS-H4A Char"/>
    <w:basedOn w:val="AS-P0Char"/>
    <w:link w:val="AS-H4A"/>
    <w:rsid w:val="00AF68FC"/>
    <w:rPr>
      <w:rFonts w:ascii="Times New Roman" w:eastAsia="Times New Roman" w:hAnsi="Times New Roman" w:cs="Times New Roman"/>
      <w:b/>
      <w:caps/>
      <w:noProof/>
    </w:rPr>
  </w:style>
  <w:style w:type="character" w:customStyle="1" w:styleId="AS-H4bChar">
    <w:name w:val="AS-H4b Char"/>
    <w:basedOn w:val="AS-P0Char"/>
    <w:link w:val="AS-H4b"/>
    <w:rsid w:val="00AF68FC"/>
    <w:rPr>
      <w:rFonts w:ascii="Times New Roman" w:eastAsia="Times New Roman" w:hAnsi="Times New Roman" w:cs="Times New Roman"/>
      <w:b/>
      <w:noProof/>
    </w:rPr>
  </w:style>
  <w:style w:type="paragraph" w:customStyle="1" w:styleId="AS-H2a">
    <w:name w:val="AS-H2a"/>
    <w:basedOn w:val="Normal"/>
    <w:link w:val="AS-H2aChar"/>
    <w:rsid w:val="00AF68FC"/>
    <w:pPr>
      <w:suppressAutoHyphens/>
      <w:autoSpaceDE w:val="0"/>
      <w:autoSpaceDN w:val="0"/>
      <w:adjustRightInd w:val="0"/>
      <w:jc w:val="center"/>
    </w:pPr>
    <w:rPr>
      <w:rFonts w:ascii="Arial" w:hAnsi="Arial" w:cs="Arial"/>
      <w:b/>
    </w:rPr>
  </w:style>
  <w:style w:type="character" w:customStyle="1" w:styleId="AS-H2aChar">
    <w:name w:val="AS-H2a Char"/>
    <w:basedOn w:val="DefaultParagraphFont"/>
    <w:link w:val="AS-H2a"/>
    <w:rsid w:val="00AF68FC"/>
    <w:rPr>
      <w:rFonts w:ascii="Arial" w:hAnsi="Arial" w:cs="Arial"/>
      <w:b/>
      <w:noProof/>
    </w:rPr>
  </w:style>
  <w:style w:type="paragraph" w:customStyle="1" w:styleId="AS-H1b">
    <w:name w:val="AS-H1b"/>
    <w:basedOn w:val="Normal"/>
    <w:link w:val="AS-H1bChar"/>
    <w:qFormat/>
    <w:rsid w:val="00AF68FC"/>
    <w:pPr>
      <w:jc w:val="center"/>
    </w:pPr>
    <w:rPr>
      <w:rFonts w:ascii="Arial" w:hAnsi="Arial" w:cs="Arial"/>
      <w:b/>
      <w:color w:val="000000"/>
      <w:sz w:val="24"/>
      <w:szCs w:val="24"/>
      <w:lang w:val="en-ZA"/>
    </w:rPr>
  </w:style>
  <w:style w:type="character" w:customStyle="1" w:styleId="AS-H1bChar">
    <w:name w:val="AS-H1b Char"/>
    <w:basedOn w:val="AS-H2aChar"/>
    <w:link w:val="AS-H1b"/>
    <w:rsid w:val="00AF68FC"/>
    <w:rPr>
      <w:rFonts w:ascii="Arial" w:hAnsi="Arial" w:cs="Arial"/>
      <w:b/>
      <w:noProof/>
      <w:color w:val="000000"/>
      <w:sz w:val="24"/>
      <w:szCs w:val="24"/>
      <w:lang w:val="en-ZA"/>
    </w:rPr>
  </w:style>
  <w:style w:type="paragraph" w:styleId="BodyText">
    <w:name w:val="Body Text"/>
    <w:basedOn w:val="Normal"/>
    <w:link w:val="BodyTextChar"/>
    <w:uiPriority w:val="1"/>
    <w:qFormat/>
    <w:rsid w:val="00EC2911"/>
    <w:pPr>
      <w:spacing w:before="39"/>
      <w:ind w:left="132" w:firstLine="194"/>
    </w:pPr>
    <w:rPr>
      <w:rFonts w:eastAsia="Times New Roman"/>
      <w:sz w:val="20"/>
      <w:szCs w:val="20"/>
    </w:rPr>
  </w:style>
  <w:style w:type="character" w:customStyle="1" w:styleId="BodyTextChar">
    <w:name w:val="Body Text Char"/>
    <w:basedOn w:val="DefaultParagraphFont"/>
    <w:link w:val="BodyText"/>
    <w:uiPriority w:val="1"/>
    <w:rsid w:val="00EC2911"/>
    <w:rPr>
      <w:rFonts w:ascii="Times New Roman" w:eastAsia="Times New Roman" w:hAnsi="Times New Roman"/>
      <w:sz w:val="20"/>
      <w:szCs w:val="20"/>
    </w:rPr>
  </w:style>
  <w:style w:type="paragraph" w:customStyle="1" w:styleId="TableParagraph">
    <w:name w:val="Table Paragraph"/>
    <w:basedOn w:val="Normal"/>
    <w:uiPriority w:val="1"/>
    <w:qFormat/>
    <w:rsid w:val="00EC2911"/>
  </w:style>
  <w:style w:type="paragraph" w:styleId="FootnoteText">
    <w:name w:val="footnote text"/>
    <w:basedOn w:val="Normal"/>
    <w:link w:val="FootnoteTextChar"/>
    <w:uiPriority w:val="99"/>
    <w:semiHidden/>
    <w:unhideWhenUsed/>
    <w:rsid w:val="00226318"/>
    <w:rPr>
      <w:sz w:val="20"/>
      <w:szCs w:val="20"/>
    </w:rPr>
  </w:style>
  <w:style w:type="character" w:customStyle="1" w:styleId="FootnoteTextChar">
    <w:name w:val="Footnote Text Char"/>
    <w:basedOn w:val="DefaultParagraphFont"/>
    <w:link w:val="FootnoteText"/>
    <w:uiPriority w:val="99"/>
    <w:semiHidden/>
    <w:rsid w:val="00226318"/>
    <w:rPr>
      <w:rFonts w:ascii="Times New Roman" w:hAnsi="Times New Roman"/>
      <w:sz w:val="20"/>
      <w:szCs w:val="20"/>
    </w:rPr>
  </w:style>
  <w:style w:type="character" w:styleId="FootnoteReference">
    <w:name w:val="footnote reference"/>
    <w:basedOn w:val="DefaultParagraphFont"/>
    <w:uiPriority w:val="99"/>
    <w:semiHidden/>
    <w:unhideWhenUsed/>
    <w:rsid w:val="00226318"/>
    <w:rPr>
      <w:vertAlign w:val="superscript"/>
    </w:rPr>
  </w:style>
  <w:style w:type="paragraph" w:customStyle="1" w:styleId="ASHeader">
    <w:name w:val="AS Header"/>
    <w:basedOn w:val="Header"/>
    <w:link w:val="ASHeaderChar"/>
    <w:rsid w:val="00AF68FC"/>
    <w:pPr>
      <w:tabs>
        <w:tab w:val="clear" w:pos="4513"/>
        <w:tab w:val="clear" w:pos="9026"/>
        <w:tab w:val="left" w:pos="567"/>
        <w:tab w:val="left" w:pos="2268"/>
      </w:tabs>
      <w:jc w:val="center"/>
    </w:pPr>
    <w:rPr>
      <w:rFonts w:ascii="Arial" w:hAnsi="Arial" w:cs="Arial"/>
      <w:b/>
      <w:sz w:val="16"/>
      <w:szCs w:val="16"/>
    </w:rPr>
  </w:style>
  <w:style w:type="character" w:customStyle="1" w:styleId="ASHeaderChar">
    <w:name w:val="AS Header Char"/>
    <w:basedOn w:val="HeaderChar"/>
    <w:link w:val="ASHeader"/>
    <w:rsid w:val="00AF68FC"/>
    <w:rPr>
      <w:rFonts w:ascii="Arial" w:hAnsi="Arial" w:cs="Arial"/>
      <w:b/>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GRN%20Annotated%20Statute%20Template%20-%20Pre-Independence%20(RS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3ABEB3-42C0-48F1-84E0-770A7437B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GRN Annotated Statute Template - Pre-Independence (RSA).dotx</Template>
  <TotalTime>40</TotalTime>
  <Pages>4</Pages>
  <Words>1630</Words>
  <Characters>9292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Commissions Act 8 of 1947 (SA)</vt:lpstr>
    </vt:vector>
  </TitlesOfParts>
  <Company/>
  <LinksUpToDate>false</LinksUpToDate>
  <CharactersWithSpaces>10901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Commissions Act 8 of 1947 (SA)</dc:title>
  <dc:creator>LAC</dc:creator>
  <cp:lastModifiedBy>Dianne Hubbard</cp:lastModifiedBy>
  <cp:revision>33</cp:revision>
  <dcterms:created xsi:type="dcterms:W3CDTF">2014-11-29T19:32:00Z</dcterms:created>
  <dcterms:modified xsi:type="dcterms:W3CDTF">2020-11-07T05:40:00Z</dcterms:modified>
</cp:coreProperties>
</file>